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A34D1" w14:textId="3DD2A186" w:rsidR="008D7086" w:rsidRDefault="008D7086" w:rsidP="0017329E">
      <w:pPr>
        <w:pStyle w:val="Heading1"/>
        <w:suppressLineNumbers/>
        <w:jc w:val="right"/>
        <w:rPr>
          <w:b w:val="0"/>
          <w:bCs w:val="0"/>
          <w:sz w:val="24"/>
        </w:rPr>
      </w:pPr>
      <w:bookmarkStart w:id="0" w:name="_GoBack"/>
      <w:bookmarkEnd w:id="0"/>
      <w:r>
        <w:rPr>
          <w:b w:val="0"/>
          <w:bCs w:val="0"/>
          <w:sz w:val="24"/>
        </w:rPr>
        <w:t>AS-</w:t>
      </w:r>
      <w:r w:rsidR="00F93FB8">
        <w:rPr>
          <w:b w:val="0"/>
          <w:bCs w:val="0"/>
          <w:sz w:val="24"/>
        </w:rPr>
        <w:t>3273</w:t>
      </w:r>
      <w:r>
        <w:rPr>
          <w:b w:val="0"/>
          <w:bCs w:val="0"/>
          <w:sz w:val="24"/>
        </w:rPr>
        <w:t>-1</w:t>
      </w:r>
      <w:r w:rsidR="003E1822">
        <w:rPr>
          <w:b w:val="0"/>
          <w:bCs w:val="0"/>
          <w:sz w:val="24"/>
        </w:rPr>
        <w:t>6</w:t>
      </w:r>
      <w:r w:rsidR="008D54DA">
        <w:rPr>
          <w:b w:val="0"/>
          <w:bCs w:val="0"/>
          <w:sz w:val="24"/>
        </w:rPr>
        <w:t>/</w:t>
      </w:r>
      <w:r w:rsidR="00F93FB8">
        <w:rPr>
          <w:b w:val="0"/>
          <w:bCs w:val="0"/>
          <w:sz w:val="24"/>
        </w:rPr>
        <w:t>FGA</w:t>
      </w:r>
    </w:p>
    <w:p w14:paraId="13E8F0E6" w14:textId="52DB1D73" w:rsidR="008D7086" w:rsidRDefault="008D7086" w:rsidP="008D54DA">
      <w:pPr>
        <w:pStyle w:val="Heading1"/>
        <w:suppressLineNumbers/>
        <w:jc w:val="right"/>
        <w:rPr>
          <w:b w:val="0"/>
          <w:bCs w:val="0"/>
          <w:sz w:val="24"/>
        </w:rPr>
      </w:pPr>
      <w:r>
        <w:rPr>
          <w:b w:val="0"/>
          <w:bCs w:val="0"/>
          <w:sz w:val="24"/>
        </w:rPr>
        <w:tab/>
      </w:r>
      <w:r w:rsidR="00F93FB8">
        <w:rPr>
          <w:b w:val="0"/>
          <w:bCs w:val="0"/>
          <w:sz w:val="24"/>
        </w:rPr>
        <w:tab/>
      </w:r>
      <w:r w:rsidR="008D54DA">
        <w:rPr>
          <w:b w:val="0"/>
          <w:bCs w:val="0"/>
          <w:sz w:val="24"/>
        </w:rPr>
        <w:t>November</w:t>
      </w:r>
      <w:r w:rsidR="00F93FB8">
        <w:rPr>
          <w:b w:val="0"/>
          <w:bCs w:val="0"/>
          <w:sz w:val="24"/>
        </w:rPr>
        <w:t xml:space="preserve"> </w:t>
      </w:r>
      <w:r w:rsidR="008D54DA">
        <w:rPr>
          <w:b w:val="0"/>
          <w:bCs w:val="0"/>
          <w:sz w:val="24"/>
        </w:rPr>
        <w:t>3-4,</w:t>
      </w:r>
      <w:r w:rsidR="00F93FB8">
        <w:rPr>
          <w:b w:val="0"/>
          <w:bCs w:val="0"/>
          <w:sz w:val="24"/>
        </w:rPr>
        <w:t xml:space="preserve"> </w:t>
      </w:r>
      <w:r w:rsidR="00495E61">
        <w:rPr>
          <w:b w:val="0"/>
          <w:bCs w:val="0"/>
          <w:sz w:val="24"/>
        </w:rPr>
        <w:t>2016</w:t>
      </w:r>
    </w:p>
    <w:p w14:paraId="6A6E5928" w14:textId="36739C38" w:rsidR="009B4457" w:rsidRDefault="00F93FB8" w:rsidP="008D54DA">
      <w:pPr>
        <w:pStyle w:val="Heading1"/>
        <w:suppressLineNumbers/>
        <w:jc w:val="right"/>
        <w:rPr>
          <w:b w:val="0"/>
          <w:bCs w:val="0"/>
          <w:sz w:val="24"/>
        </w:rPr>
      </w:pPr>
      <w:r>
        <w:rPr>
          <w:b w:val="0"/>
          <w:bCs w:val="0"/>
          <w:sz w:val="24"/>
        </w:rPr>
        <w:tab/>
      </w:r>
      <w:r w:rsidR="00495E61">
        <w:rPr>
          <w:b w:val="0"/>
          <w:bCs w:val="0"/>
          <w:sz w:val="24"/>
        </w:rPr>
        <w:t>F</w:t>
      </w:r>
      <w:r>
        <w:rPr>
          <w:b w:val="0"/>
          <w:bCs w:val="0"/>
          <w:sz w:val="24"/>
        </w:rPr>
        <w:t>irst Reading/W</w:t>
      </w:r>
      <w:r w:rsidR="00495E61">
        <w:rPr>
          <w:b w:val="0"/>
          <w:bCs w:val="0"/>
          <w:sz w:val="24"/>
        </w:rPr>
        <w:t>aiver</w:t>
      </w:r>
    </w:p>
    <w:p w14:paraId="265F4251" w14:textId="77777777" w:rsidR="008D7086" w:rsidRPr="00F9308D" w:rsidRDefault="008D7086" w:rsidP="008D7086">
      <w:pPr>
        <w:pStyle w:val="BodyText2"/>
        <w:suppressLineNumbers/>
        <w:rPr>
          <w:b w:val="0"/>
          <w:bCs w:val="0"/>
          <w:sz w:val="18"/>
          <w:szCs w:val="18"/>
        </w:rPr>
      </w:pPr>
    </w:p>
    <w:p w14:paraId="2F7FD313" w14:textId="68742FD0" w:rsidR="009F3D8E" w:rsidRPr="00F93FB8" w:rsidRDefault="00495E61" w:rsidP="008D54DA">
      <w:pPr>
        <w:pStyle w:val="BodyText2"/>
        <w:suppressLineNumbers/>
        <w:tabs>
          <w:tab w:val="left" w:pos="1890"/>
        </w:tabs>
        <w:spacing w:after="200"/>
        <w:rPr>
          <w:smallCaps/>
        </w:rPr>
      </w:pPr>
      <w:r w:rsidRPr="00F93FB8">
        <w:rPr>
          <w:smallCaps/>
        </w:rPr>
        <w:t>Support for the California State University</w:t>
      </w:r>
      <w:r w:rsidR="00A8386D" w:rsidRPr="00F93FB8">
        <w:rPr>
          <w:smallCaps/>
        </w:rPr>
        <w:t xml:space="preserve"> (CSU)</w:t>
      </w:r>
      <w:r w:rsidRPr="00F93FB8">
        <w:rPr>
          <w:smallCaps/>
        </w:rPr>
        <w:t xml:space="preserve"> Board of Trustees </w:t>
      </w:r>
      <w:r w:rsidR="00A8386D" w:rsidRPr="00F93FB8">
        <w:rPr>
          <w:smallCaps/>
        </w:rPr>
        <w:t xml:space="preserve">(BOT) </w:t>
      </w:r>
      <w:r w:rsidRPr="00F93FB8">
        <w:rPr>
          <w:smallCaps/>
        </w:rPr>
        <w:t>2017-18 Budget Request</w:t>
      </w:r>
    </w:p>
    <w:p w14:paraId="55D15BD7" w14:textId="085A9A7B" w:rsidR="009F3D8E" w:rsidRPr="00F93FB8" w:rsidRDefault="00F273E9" w:rsidP="00367895">
      <w:pPr>
        <w:pStyle w:val="BodyText2"/>
        <w:numPr>
          <w:ilvl w:val="0"/>
          <w:numId w:val="5"/>
        </w:numPr>
        <w:tabs>
          <w:tab w:val="left" w:pos="1800"/>
        </w:tabs>
        <w:ind w:left="360"/>
        <w:rPr>
          <w:b w:val="0"/>
          <w:bCs w:val="0"/>
          <w:sz w:val="24"/>
          <w:szCs w:val="24"/>
        </w:rPr>
      </w:pPr>
      <w:r w:rsidRPr="00F93FB8">
        <w:rPr>
          <w:b w:val="0"/>
          <w:bCs w:val="0"/>
          <w:sz w:val="24"/>
          <w:szCs w:val="24"/>
        </w:rPr>
        <w:t>RESOLVED:</w:t>
      </w:r>
      <w:r w:rsidRPr="00F93FB8">
        <w:rPr>
          <w:b w:val="0"/>
          <w:bCs w:val="0"/>
          <w:sz w:val="24"/>
          <w:szCs w:val="24"/>
        </w:rPr>
        <w:tab/>
      </w:r>
      <w:r w:rsidR="00A81CAE" w:rsidRPr="00F93FB8">
        <w:rPr>
          <w:b w:val="0"/>
          <w:bCs w:val="0"/>
          <w:sz w:val="24"/>
          <w:szCs w:val="24"/>
        </w:rPr>
        <w:t>That the Academic Senate of the California State University (ASCSU)</w:t>
      </w:r>
      <w:r w:rsidR="00624A1F" w:rsidRPr="00F93FB8">
        <w:rPr>
          <w:b w:val="0"/>
          <w:bCs w:val="0"/>
          <w:sz w:val="24"/>
          <w:szCs w:val="24"/>
        </w:rPr>
        <w:t xml:space="preserve"> support </w:t>
      </w:r>
      <w:r w:rsidR="005400F0" w:rsidRPr="00F93FB8">
        <w:rPr>
          <w:b w:val="0"/>
          <w:bCs w:val="0"/>
          <w:sz w:val="24"/>
          <w:szCs w:val="24"/>
        </w:rPr>
        <w:t xml:space="preserve">the CSU </w:t>
      </w:r>
      <w:r w:rsidR="00A8386D" w:rsidRPr="00F93FB8">
        <w:rPr>
          <w:b w:val="0"/>
          <w:bCs w:val="0"/>
          <w:sz w:val="24"/>
          <w:szCs w:val="24"/>
        </w:rPr>
        <w:t>B</w:t>
      </w:r>
      <w:r w:rsidR="00EC589C" w:rsidRPr="00F93FB8">
        <w:rPr>
          <w:b w:val="0"/>
          <w:bCs w:val="0"/>
          <w:sz w:val="24"/>
          <w:szCs w:val="24"/>
        </w:rPr>
        <w:t>OT 2017-18 budget request for</w:t>
      </w:r>
      <w:r w:rsidR="00A8386D" w:rsidRPr="00F93FB8">
        <w:rPr>
          <w:b w:val="0"/>
          <w:bCs w:val="0"/>
          <w:sz w:val="24"/>
          <w:szCs w:val="24"/>
        </w:rPr>
        <w:t xml:space="preserve"> additional </w:t>
      </w:r>
      <w:r w:rsidR="00EC589C" w:rsidRPr="00F93FB8">
        <w:rPr>
          <w:b w:val="0"/>
          <w:bCs w:val="0"/>
          <w:sz w:val="24"/>
          <w:szCs w:val="24"/>
        </w:rPr>
        <w:t xml:space="preserve">monies </w:t>
      </w:r>
      <w:r w:rsidR="00376DD8" w:rsidRPr="00F93FB8">
        <w:rPr>
          <w:b w:val="0"/>
          <w:bCs w:val="0"/>
          <w:sz w:val="24"/>
          <w:szCs w:val="24"/>
        </w:rPr>
        <w:t>from the state for student success</w:t>
      </w:r>
      <w:r w:rsidR="000B6B44" w:rsidRPr="00F93FB8">
        <w:rPr>
          <w:b w:val="0"/>
          <w:bCs w:val="0"/>
          <w:sz w:val="24"/>
          <w:szCs w:val="24"/>
        </w:rPr>
        <w:t>, completion</w:t>
      </w:r>
      <w:r w:rsidR="00376DD8" w:rsidRPr="00F93FB8">
        <w:rPr>
          <w:b w:val="0"/>
          <w:bCs w:val="0"/>
          <w:sz w:val="24"/>
          <w:szCs w:val="24"/>
        </w:rPr>
        <w:t xml:space="preserve"> and access, infrastructure/facilities</w:t>
      </w:r>
      <w:r w:rsidR="001573B2" w:rsidRPr="00F93FB8">
        <w:rPr>
          <w:b w:val="0"/>
          <w:bCs w:val="0"/>
          <w:sz w:val="24"/>
          <w:szCs w:val="24"/>
        </w:rPr>
        <w:t>,</w:t>
      </w:r>
      <w:r w:rsidR="00376DD8" w:rsidRPr="00F93FB8">
        <w:rPr>
          <w:b w:val="0"/>
          <w:bCs w:val="0"/>
          <w:sz w:val="24"/>
          <w:szCs w:val="24"/>
        </w:rPr>
        <w:t xml:space="preserve"> and </w:t>
      </w:r>
      <w:r w:rsidR="00ED57EF" w:rsidRPr="00F93FB8">
        <w:rPr>
          <w:b w:val="0"/>
          <w:bCs w:val="0"/>
          <w:sz w:val="24"/>
          <w:szCs w:val="24"/>
        </w:rPr>
        <w:t xml:space="preserve">employee </w:t>
      </w:r>
      <w:r w:rsidR="00376DD8" w:rsidRPr="00F93FB8">
        <w:rPr>
          <w:b w:val="0"/>
          <w:bCs w:val="0"/>
          <w:sz w:val="24"/>
          <w:szCs w:val="24"/>
        </w:rPr>
        <w:t xml:space="preserve">compensation </w:t>
      </w:r>
      <w:r w:rsidR="00EC589C" w:rsidRPr="00F93FB8">
        <w:rPr>
          <w:b w:val="0"/>
          <w:bCs w:val="0"/>
          <w:sz w:val="24"/>
          <w:szCs w:val="24"/>
        </w:rPr>
        <w:t>over and above the $157.2 m</w:t>
      </w:r>
      <w:r w:rsidR="001573B2" w:rsidRPr="00F93FB8">
        <w:rPr>
          <w:b w:val="0"/>
          <w:bCs w:val="0"/>
          <w:sz w:val="24"/>
          <w:szCs w:val="24"/>
        </w:rPr>
        <w:t>illion</w:t>
      </w:r>
      <w:r w:rsidR="00EC589C" w:rsidRPr="00F93FB8">
        <w:rPr>
          <w:b w:val="0"/>
          <w:bCs w:val="0"/>
          <w:sz w:val="24"/>
          <w:szCs w:val="24"/>
        </w:rPr>
        <w:t xml:space="preserve"> </w:t>
      </w:r>
      <w:r w:rsidR="000248C3" w:rsidRPr="00F93FB8">
        <w:rPr>
          <w:b w:val="0"/>
          <w:bCs w:val="0"/>
          <w:sz w:val="24"/>
          <w:szCs w:val="24"/>
        </w:rPr>
        <w:t xml:space="preserve">funding commitment </w:t>
      </w:r>
      <w:r w:rsidR="00EC589C" w:rsidRPr="00F93FB8">
        <w:rPr>
          <w:b w:val="0"/>
          <w:bCs w:val="0"/>
          <w:sz w:val="24"/>
          <w:szCs w:val="24"/>
        </w:rPr>
        <w:t>to the CSU</w:t>
      </w:r>
      <w:r w:rsidR="00376DD8" w:rsidRPr="00F93FB8">
        <w:rPr>
          <w:b w:val="0"/>
          <w:bCs w:val="0"/>
          <w:sz w:val="24"/>
          <w:szCs w:val="24"/>
        </w:rPr>
        <w:t xml:space="preserve"> by the Governor</w:t>
      </w:r>
      <w:r w:rsidR="005E3367" w:rsidRPr="00F93FB8">
        <w:rPr>
          <w:b w:val="0"/>
          <w:bCs w:val="0"/>
          <w:sz w:val="24"/>
          <w:szCs w:val="24"/>
        </w:rPr>
        <w:t>; and be it further</w:t>
      </w:r>
    </w:p>
    <w:p w14:paraId="5BBD1C13" w14:textId="28E8D7D6" w:rsidR="009F3D8E" w:rsidRPr="00F93FB8" w:rsidRDefault="00F273E9" w:rsidP="00367895">
      <w:pPr>
        <w:pStyle w:val="BodyText2"/>
        <w:numPr>
          <w:ilvl w:val="0"/>
          <w:numId w:val="5"/>
        </w:numPr>
        <w:tabs>
          <w:tab w:val="left" w:pos="1800"/>
        </w:tabs>
        <w:ind w:left="360"/>
        <w:rPr>
          <w:b w:val="0"/>
          <w:bCs w:val="0"/>
          <w:sz w:val="24"/>
          <w:szCs w:val="24"/>
        </w:rPr>
      </w:pPr>
      <w:r w:rsidRPr="00F93FB8">
        <w:rPr>
          <w:b w:val="0"/>
          <w:bCs w:val="0"/>
          <w:sz w:val="24"/>
          <w:szCs w:val="24"/>
        </w:rPr>
        <w:t>RESOLVED:</w:t>
      </w:r>
      <w:r w:rsidRPr="00F93FB8">
        <w:rPr>
          <w:b w:val="0"/>
          <w:bCs w:val="0"/>
          <w:sz w:val="24"/>
          <w:szCs w:val="24"/>
        </w:rPr>
        <w:tab/>
      </w:r>
      <w:r w:rsidR="009F3D8E" w:rsidRPr="00F93FB8">
        <w:rPr>
          <w:b w:val="0"/>
          <w:bCs w:val="0"/>
          <w:sz w:val="24"/>
          <w:szCs w:val="24"/>
        </w:rPr>
        <w:t>T</w:t>
      </w:r>
      <w:r w:rsidR="00706133" w:rsidRPr="00F93FB8">
        <w:rPr>
          <w:b w:val="0"/>
          <w:bCs w:val="0"/>
          <w:sz w:val="24"/>
          <w:szCs w:val="24"/>
        </w:rPr>
        <w:t>hat the AS</w:t>
      </w:r>
      <w:r w:rsidR="00226209" w:rsidRPr="00F93FB8">
        <w:rPr>
          <w:b w:val="0"/>
          <w:bCs w:val="0"/>
          <w:sz w:val="24"/>
          <w:szCs w:val="24"/>
        </w:rPr>
        <w:t xml:space="preserve">CSU urge </w:t>
      </w:r>
      <w:r w:rsidR="00376DD8" w:rsidRPr="00F93FB8">
        <w:rPr>
          <w:b w:val="0"/>
          <w:bCs w:val="0"/>
          <w:sz w:val="24"/>
          <w:szCs w:val="24"/>
        </w:rPr>
        <w:t xml:space="preserve">that </w:t>
      </w:r>
      <w:r w:rsidR="00894634" w:rsidRPr="00F93FB8">
        <w:rPr>
          <w:b w:val="0"/>
          <w:bCs w:val="0"/>
          <w:sz w:val="24"/>
          <w:szCs w:val="24"/>
        </w:rPr>
        <w:t xml:space="preserve">in its request, </w:t>
      </w:r>
      <w:r w:rsidR="00226209" w:rsidRPr="00F93FB8">
        <w:rPr>
          <w:b w:val="0"/>
          <w:bCs w:val="0"/>
          <w:sz w:val="24"/>
          <w:szCs w:val="24"/>
        </w:rPr>
        <w:t xml:space="preserve">the CSU BOT </w:t>
      </w:r>
      <w:r w:rsidR="00CE1F2B" w:rsidRPr="00F93FB8">
        <w:rPr>
          <w:b w:val="0"/>
          <w:bCs w:val="0"/>
          <w:sz w:val="24"/>
          <w:szCs w:val="24"/>
        </w:rPr>
        <w:t xml:space="preserve">allocate </w:t>
      </w:r>
      <w:r w:rsidR="00226209" w:rsidRPr="00F93FB8">
        <w:rPr>
          <w:b w:val="0"/>
          <w:bCs w:val="0"/>
          <w:sz w:val="24"/>
          <w:szCs w:val="24"/>
        </w:rPr>
        <w:t xml:space="preserve">at </w:t>
      </w:r>
      <w:r w:rsidR="00894634" w:rsidRPr="00F93FB8">
        <w:rPr>
          <w:b w:val="0"/>
          <w:bCs w:val="0"/>
          <w:sz w:val="24"/>
          <w:szCs w:val="24"/>
        </w:rPr>
        <w:t xml:space="preserve">least half the monies </w:t>
      </w:r>
      <w:r w:rsidR="00226209" w:rsidRPr="00F93FB8">
        <w:rPr>
          <w:b w:val="0"/>
          <w:bCs w:val="0"/>
          <w:sz w:val="24"/>
          <w:szCs w:val="24"/>
        </w:rPr>
        <w:t xml:space="preserve">for the Graduation Initiative </w:t>
      </w:r>
      <w:r w:rsidR="0052097B" w:rsidRPr="00F93FB8">
        <w:rPr>
          <w:b w:val="0"/>
          <w:bCs w:val="0"/>
          <w:sz w:val="24"/>
          <w:szCs w:val="24"/>
        </w:rPr>
        <w:t xml:space="preserve">2025 </w:t>
      </w:r>
      <w:r w:rsidR="00CE1F2B" w:rsidRPr="00F93FB8">
        <w:rPr>
          <w:b w:val="0"/>
          <w:bCs w:val="0"/>
          <w:sz w:val="24"/>
          <w:szCs w:val="24"/>
        </w:rPr>
        <w:t xml:space="preserve">to assist in resolving the tenure density issue in the CSU by </w:t>
      </w:r>
      <w:r w:rsidR="004F3563" w:rsidRPr="00F93FB8">
        <w:rPr>
          <w:b w:val="0"/>
          <w:bCs w:val="0"/>
          <w:sz w:val="24"/>
          <w:szCs w:val="24"/>
        </w:rPr>
        <w:t xml:space="preserve">the </w:t>
      </w:r>
      <w:r w:rsidR="00CE1F2B" w:rsidRPr="00F93FB8">
        <w:rPr>
          <w:b w:val="0"/>
          <w:bCs w:val="0"/>
          <w:sz w:val="24"/>
          <w:szCs w:val="24"/>
        </w:rPr>
        <w:t xml:space="preserve">hiring   </w:t>
      </w:r>
      <w:r w:rsidR="004F3563" w:rsidRPr="00F93FB8">
        <w:rPr>
          <w:b w:val="0"/>
          <w:bCs w:val="0"/>
          <w:sz w:val="24"/>
          <w:szCs w:val="24"/>
        </w:rPr>
        <w:t xml:space="preserve">of </w:t>
      </w:r>
      <w:r w:rsidR="00CE1F2B" w:rsidRPr="00F93FB8">
        <w:rPr>
          <w:b w:val="0"/>
          <w:bCs w:val="0"/>
          <w:sz w:val="24"/>
          <w:szCs w:val="24"/>
        </w:rPr>
        <w:t>tenure track faculty</w:t>
      </w:r>
      <w:r w:rsidR="00D753E7" w:rsidRPr="00F93FB8">
        <w:rPr>
          <w:b w:val="0"/>
          <w:bCs w:val="0"/>
          <w:sz w:val="24"/>
          <w:szCs w:val="24"/>
        </w:rPr>
        <w:t xml:space="preserve"> to</w:t>
      </w:r>
      <w:r w:rsidR="00A55250" w:rsidRPr="00F93FB8">
        <w:rPr>
          <w:b w:val="0"/>
          <w:bCs w:val="0"/>
          <w:sz w:val="24"/>
          <w:szCs w:val="24"/>
        </w:rPr>
        <w:t xml:space="preserve"> improve </w:t>
      </w:r>
      <w:r w:rsidR="00376DD8" w:rsidRPr="00F93FB8">
        <w:rPr>
          <w:b w:val="0"/>
          <w:bCs w:val="0"/>
          <w:sz w:val="24"/>
          <w:szCs w:val="24"/>
        </w:rPr>
        <w:t>student success and access</w:t>
      </w:r>
      <w:r w:rsidR="005E3367" w:rsidRPr="00F93FB8">
        <w:rPr>
          <w:b w:val="0"/>
          <w:bCs w:val="0"/>
          <w:sz w:val="24"/>
          <w:szCs w:val="24"/>
        </w:rPr>
        <w:t>; and be it further</w:t>
      </w:r>
    </w:p>
    <w:p w14:paraId="2BA71232" w14:textId="2C4BF243" w:rsidR="00F87ABB" w:rsidRDefault="00F273E9" w:rsidP="00367895">
      <w:pPr>
        <w:pStyle w:val="ListParagraph"/>
        <w:numPr>
          <w:ilvl w:val="0"/>
          <w:numId w:val="5"/>
        </w:numPr>
        <w:tabs>
          <w:tab w:val="left" w:pos="450"/>
          <w:tab w:val="left" w:pos="1890"/>
        </w:tabs>
        <w:ind w:left="446"/>
        <w:contextualSpacing w:val="0"/>
      </w:pPr>
      <w:r>
        <w:t>RESOLVED:</w:t>
      </w:r>
      <w:r>
        <w:tab/>
      </w:r>
      <w:r w:rsidR="00A81CAE">
        <w:t>That the ASCSU distribute this resolution to</w:t>
      </w:r>
      <w:r w:rsidR="002530C0">
        <w:t xml:space="preserve">; </w:t>
      </w:r>
    </w:p>
    <w:p w14:paraId="7D3A02A7" w14:textId="7D650D6A" w:rsidR="006E6267" w:rsidRPr="008D54DA" w:rsidRDefault="00F93FB8" w:rsidP="00367895">
      <w:pPr>
        <w:pStyle w:val="BodyText2"/>
        <w:numPr>
          <w:ilvl w:val="0"/>
          <w:numId w:val="6"/>
        </w:numPr>
        <w:ind w:left="1080"/>
        <w:rPr>
          <w:b w:val="0"/>
          <w:bCs w:val="0"/>
          <w:sz w:val="24"/>
          <w:szCs w:val="24"/>
        </w:rPr>
      </w:pPr>
      <w:r w:rsidRPr="008D54DA">
        <w:rPr>
          <w:b w:val="0"/>
          <w:bCs w:val="0"/>
          <w:sz w:val="24"/>
          <w:szCs w:val="24"/>
        </w:rPr>
        <w:t xml:space="preserve">California </w:t>
      </w:r>
      <w:r w:rsidR="006E6267" w:rsidRPr="008D54DA">
        <w:rPr>
          <w:b w:val="0"/>
          <w:bCs w:val="0"/>
          <w:sz w:val="24"/>
          <w:szCs w:val="24"/>
        </w:rPr>
        <w:t xml:space="preserve">Governor </w:t>
      </w:r>
      <w:r w:rsidRPr="008D54DA">
        <w:rPr>
          <w:b w:val="0"/>
          <w:bCs w:val="0"/>
          <w:sz w:val="24"/>
          <w:szCs w:val="24"/>
        </w:rPr>
        <w:t xml:space="preserve">Jerry </w:t>
      </w:r>
      <w:r w:rsidR="008D54DA">
        <w:rPr>
          <w:b w:val="0"/>
          <w:bCs w:val="0"/>
          <w:sz w:val="24"/>
          <w:szCs w:val="24"/>
        </w:rPr>
        <w:t>Brown,</w:t>
      </w:r>
    </w:p>
    <w:p w14:paraId="28996AAD" w14:textId="0A9C7520" w:rsidR="004F1A91" w:rsidRPr="008D54DA" w:rsidRDefault="004F1A91" w:rsidP="00367895">
      <w:pPr>
        <w:pStyle w:val="BodyText2"/>
        <w:numPr>
          <w:ilvl w:val="0"/>
          <w:numId w:val="6"/>
        </w:numPr>
        <w:ind w:left="1080"/>
        <w:rPr>
          <w:b w:val="0"/>
          <w:bCs w:val="0"/>
          <w:sz w:val="24"/>
          <w:szCs w:val="24"/>
        </w:rPr>
      </w:pPr>
      <w:r w:rsidRPr="008D54DA">
        <w:rPr>
          <w:b w:val="0"/>
          <w:bCs w:val="0"/>
          <w:sz w:val="24"/>
          <w:szCs w:val="24"/>
        </w:rPr>
        <w:t xml:space="preserve">Speaker of the California </w:t>
      </w:r>
      <w:r w:rsidR="00F93FB8" w:rsidRPr="008D54DA">
        <w:rPr>
          <w:b w:val="0"/>
          <w:bCs w:val="0"/>
          <w:sz w:val="24"/>
          <w:szCs w:val="24"/>
        </w:rPr>
        <w:t xml:space="preserve">State </w:t>
      </w:r>
      <w:r w:rsidRPr="008D54DA">
        <w:rPr>
          <w:b w:val="0"/>
          <w:bCs w:val="0"/>
          <w:sz w:val="24"/>
          <w:szCs w:val="24"/>
        </w:rPr>
        <w:t>Assembly</w:t>
      </w:r>
      <w:r w:rsidR="008D54DA">
        <w:rPr>
          <w:b w:val="0"/>
          <w:bCs w:val="0"/>
          <w:sz w:val="24"/>
          <w:szCs w:val="24"/>
        </w:rPr>
        <w:t>,</w:t>
      </w:r>
    </w:p>
    <w:p w14:paraId="209E3967" w14:textId="79D391D0" w:rsidR="004F1A91" w:rsidRPr="008D54DA" w:rsidRDefault="008D54DA" w:rsidP="00367895">
      <w:pPr>
        <w:pStyle w:val="BodyText2"/>
        <w:numPr>
          <w:ilvl w:val="0"/>
          <w:numId w:val="6"/>
        </w:numPr>
        <w:ind w:left="1080"/>
        <w:rPr>
          <w:b w:val="0"/>
          <w:bCs w:val="0"/>
          <w:sz w:val="24"/>
          <w:szCs w:val="24"/>
        </w:rPr>
      </w:pPr>
      <w:r w:rsidRPr="008D54DA">
        <w:rPr>
          <w:b w:val="0"/>
          <w:bCs w:val="0"/>
          <w:sz w:val="24"/>
          <w:szCs w:val="24"/>
        </w:rPr>
        <w:t>California Senate President pro Tempore</w:t>
      </w:r>
      <w:r>
        <w:rPr>
          <w:b w:val="0"/>
          <w:bCs w:val="0"/>
          <w:sz w:val="24"/>
          <w:szCs w:val="24"/>
        </w:rPr>
        <w:t>,</w:t>
      </w:r>
    </w:p>
    <w:p w14:paraId="0BB19327" w14:textId="3584CDD5" w:rsidR="00E63568" w:rsidRPr="008D54DA" w:rsidRDefault="009B4457" w:rsidP="00367895">
      <w:pPr>
        <w:pStyle w:val="BodyText2"/>
        <w:numPr>
          <w:ilvl w:val="0"/>
          <w:numId w:val="6"/>
        </w:numPr>
        <w:ind w:left="1080"/>
        <w:rPr>
          <w:b w:val="0"/>
          <w:bCs w:val="0"/>
          <w:sz w:val="24"/>
          <w:szCs w:val="24"/>
        </w:rPr>
      </w:pPr>
      <w:r w:rsidRPr="008D54DA">
        <w:rPr>
          <w:b w:val="0"/>
          <w:bCs w:val="0"/>
          <w:sz w:val="24"/>
          <w:szCs w:val="24"/>
        </w:rPr>
        <w:t xml:space="preserve">CSU </w:t>
      </w:r>
      <w:r w:rsidR="00A81CAE" w:rsidRPr="008D54DA">
        <w:rPr>
          <w:b w:val="0"/>
          <w:bCs w:val="0"/>
          <w:sz w:val="24"/>
          <w:szCs w:val="24"/>
        </w:rPr>
        <w:t xml:space="preserve">Board of Trustees, </w:t>
      </w:r>
    </w:p>
    <w:p w14:paraId="3666EEC0" w14:textId="77777777" w:rsidR="00E63568" w:rsidRPr="008D54DA" w:rsidRDefault="009B4457" w:rsidP="00367895">
      <w:pPr>
        <w:pStyle w:val="BodyText2"/>
        <w:numPr>
          <w:ilvl w:val="0"/>
          <w:numId w:val="6"/>
        </w:numPr>
        <w:ind w:left="1080"/>
        <w:rPr>
          <w:b w:val="0"/>
          <w:bCs w:val="0"/>
          <w:sz w:val="24"/>
          <w:szCs w:val="24"/>
        </w:rPr>
      </w:pPr>
      <w:r w:rsidRPr="008D54DA">
        <w:rPr>
          <w:b w:val="0"/>
          <w:bCs w:val="0"/>
          <w:sz w:val="24"/>
          <w:szCs w:val="24"/>
        </w:rPr>
        <w:t xml:space="preserve">CSU </w:t>
      </w:r>
      <w:r w:rsidR="00A26F77" w:rsidRPr="008D54DA">
        <w:rPr>
          <w:b w:val="0"/>
          <w:bCs w:val="0"/>
          <w:sz w:val="24"/>
          <w:szCs w:val="24"/>
        </w:rPr>
        <w:t xml:space="preserve">Chancellor, </w:t>
      </w:r>
    </w:p>
    <w:p w14:paraId="25E1FC57" w14:textId="77777777" w:rsidR="00E63568" w:rsidRPr="008D54DA" w:rsidRDefault="009B4457" w:rsidP="00367895">
      <w:pPr>
        <w:pStyle w:val="BodyText2"/>
        <w:numPr>
          <w:ilvl w:val="0"/>
          <w:numId w:val="6"/>
        </w:numPr>
        <w:ind w:left="1080"/>
        <w:rPr>
          <w:b w:val="0"/>
          <w:bCs w:val="0"/>
          <w:sz w:val="24"/>
          <w:szCs w:val="24"/>
        </w:rPr>
      </w:pPr>
      <w:r w:rsidRPr="008D54DA">
        <w:rPr>
          <w:b w:val="0"/>
          <w:bCs w:val="0"/>
          <w:sz w:val="24"/>
          <w:szCs w:val="24"/>
        </w:rPr>
        <w:t xml:space="preserve">CSU </w:t>
      </w:r>
      <w:r w:rsidR="00A81CAE" w:rsidRPr="008D54DA">
        <w:rPr>
          <w:b w:val="0"/>
          <w:bCs w:val="0"/>
          <w:sz w:val="24"/>
          <w:szCs w:val="24"/>
        </w:rPr>
        <w:t xml:space="preserve">campus Presidents, </w:t>
      </w:r>
    </w:p>
    <w:p w14:paraId="699A5F1C" w14:textId="77777777" w:rsidR="00E63568" w:rsidRPr="008D54DA" w:rsidRDefault="009B4457" w:rsidP="00367895">
      <w:pPr>
        <w:pStyle w:val="BodyText2"/>
        <w:numPr>
          <w:ilvl w:val="0"/>
          <w:numId w:val="6"/>
        </w:numPr>
        <w:ind w:left="1080"/>
        <w:rPr>
          <w:b w:val="0"/>
          <w:bCs w:val="0"/>
          <w:sz w:val="24"/>
          <w:szCs w:val="24"/>
        </w:rPr>
      </w:pPr>
      <w:r w:rsidRPr="008D54DA">
        <w:rPr>
          <w:b w:val="0"/>
          <w:bCs w:val="0"/>
          <w:sz w:val="24"/>
          <w:szCs w:val="24"/>
        </w:rPr>
        <w:t xml:space="preserve">CSU </w:t>
      </w:r>
      <w:r w:rsidR="00A81CAE" w:rsidRPr="008D54DA">
        <w:rPr>
          <w:b w:val="0"/>
          <w:bCs w:val="0"/>
          <w:sz w:val="24"/>
          <w:szCs w:val="24"/>
        </w:rPr>
        <w:t>campus Senate Chairs</w:t>
      </w:r>
      <w:r w:rsidR="00E63568" w:rsidRPr="008D54DA">
        <w:rPr>
          <w:b w:val="0"/>
          <w:bCs w:val="0"/>
          <w:sz w:val="24"/>
          <w:szCs w:val="24"/>
        </w:rPr>
        <w:t xml:space="preserve">, </w:t>
      </w:r>
    </w:p>
    <w:p w14:paraId="2C88C254" w14:textId="096DD4A5" w:rsidR="00E63568" w:rsidRPr="008D54DA" w:rsidRDefault="00C318A2" w:rsidP="00367895">
      <w:pPr>
        <w:pStyle w:val="BodyText2"/>
        <w:numPr>
          <w:ilvl w:val="0"/>
          <w:numId w:val="6"/>
        </w:numPr>
        <w:ind w:left="1080"/>
        <w:rPr>
          <w:b w:val="0"/>
          <w:bCs w:val="0"/>
          <w:sz w:val="24"/>
          <w:szCs w:val="24"/>
        </w:rPr>
      </w:pPr>
      <w:r w:rsidRPr="008D54DA">
        <w:rPr>
          <w:b w:val="0"/>
          <w:bCs w:val="0"/>
          <w:sz w:val="24"/>
          <w:szCs w:val="24"/>
        </w:rPr>
        <w:t>California Faculty Association (CFA)</w:t>
      </w:r>
      <w:r w:rsidR="008D54DA">
        <w:rPr>
          <w:b w:val="0"/>
          <w:bCs w:val="0"/>
          <w:sz w:val="24"/>
          <w:szCs w:val="24"/>
        </w:rPr>
        <w:t>,</w:t>
      </w:r>
    </w:p>
    <w:p w14:paraId="1593E004" w14:textId="78AE46AB" w:rsidR="00C318A2" w:rsidRPr="008D54DA" w:rsidRDefault="00C318A2" w:rsidP="00367895">
      <w:pPr>
        <w:pStyle w:val="BodyText2"/>
        <w:numPr>
          <w:ilvl w:val="0"/>
          <w:numId w:val="6"/>
        </w:numPr>
        <w:ind w:left="1080"/>
        <w:rPr>
          <w:b w:val="0"/>
          <w:bCs w:val="0"/>
          <w:sz w:val="24"/>
          <w:szCs w:val="24"/>
        </w:rPr>
      </w:pPr>
      <w:r w:rsidRPr="008D54DA">
        <w:rPr>
          <w:b w:val="0"/>
          <w:bCs w:val="0"/>
          <w:sz w:val="24"/>
          <w:szCs w:val="24"/>
        </w:rPr>
        <w:t>California State Student Association (CSSA)</w:t>
      </w:r>
      <w:r w:rsidR="008D54DA">
        <w:rPr>
          <w:b w:val="0"/>
          <w:bCs w:val="0"/>
          <w:sz w:val="24"/>
          <w:szCs w:val="24"/>
        </w:rPr>
        <w:t>,</w:t>
      </w:r>
    </w:p>
    <w:p w14:paraId="6505C893" w14:textId="5B9980E1" w:rsidR="00C318A2" w:rsidRPr="008D54DA" w:rsidRDefault="00C318A2" w:rsidP="00367895">
      <w:pPr>
        <w:pStyle w:val="BodyText2"/>
        <w:numPr>
          <w:ilvl w:val="0"/>
          <w:numId w:val="6"/>
        </w:numPr>
        <w:ind w:left="1080"/>
        <w:rPr>
          <w:b w:val="0"/>
          <w:bCs w:val="0"/>
          <w:sz w:val="24"/>
          <w:szCs w:val="24"/>
        </w:rPr>
      </w:pPr>
      <w:r w:rsidRPr="008D54DA">
        <w:rPr>
          <w:b w:val="0"/>
          <w:bCs w:val="0"/>
          <w:sz w:val="24"/>
          <w:szCs w:val="24"/>
        </w:rPr>
        <w:t>Emeritus and Retired Faculty Association (ERFA)</w:t>
      </w:r>
      <w:r w:rsidR="008D54DA">
        <w:rPr>
          <w:b w:val="0"/>
          <w:bCs w:val="0"/>
          <w:sz w:val="24"/>
          <w:szCs w:val="24"/>
        </w:rPr>
        <w:t>,</w:t>
      </w:r>
    </w:p>
    <w:p w14:paraId="29ECA86A" w14:textId="77777777" w:rsidR="00E63568" w:rsidRPr="008D54DA" w:rsidRDefault="00A26F77" w:rsidP="00367895">
      <w:pPr>
        <w:pStyle w:val="BodyText2"/>
        <w:numPr>
          <w:ilvl w:val="0"/>
          <w:numId w:val="6"/>
        </w:numPr>
        <w:ind w:left="1080"/>
        <w:rPr>
          <w:b w:val="0"/>
          <w:bCs w:val="0"/>
          <w:sz w:val="24"/>
          <w:szCs w:val="24"/>
        </w:rPr>
      </w:pPr>
      <w:r w:rsidRPr="008D54DA">
        <w:rPr>
          <w:b w:val="0"/>
          <w:bCs w:val="0"/>
          <w:sz w:val="24"/>
          <w:szCs w:val="24"/>
        </w:rPr>
        <w:t xml:space="preserve">Academic Senate for the California Community Colleges, </w:t>
      </w:r>
    </w:p>
    <w:p w14:paraId="7705AB65" w14:textId="77777777" w:rsidR="00E63568" w:rsidRPr="008D54DA" w:rsidRDefault="00A26F77" w:rsidP="00367895">
      <w:pPr>
        <w:pStyle w:val="BodyText2"/>
        <w:numPr>
          <w:ilvl w:val="0"/>
          <w:numId w:val="6"/>
        </w:numPr>
        <w:ind w:left="1080"/>
        <w:rPr>
          <w:b w:val="0"/>
          <w:bCs w:val="0"/>
          <w:sz w:val="24"/>
          <w:szCs w:val="24"/>
        </w:rPr>
      </w:pPr>
      <w:r w:rsidRPr="008D54DA">
        <w:rPr>
          <w:b w:val="0"/>
          <w:bCs w:val="0"/>
          <w:sz w:val="24"/>
          <w:szCs w:val="24"/>
        </w:rPr>
        <w:t xml:space="preserve">Academic Senate of the University of California, </w:t>
      </w:r>
    </w:p>
    <w:p w14:paraId="2F8D2712" w14:textId="77777777" w:rsidR="00E63568" w:rsidRPr="008D54DA" w:rsidRDefault="00A26F77" w:rsidP="00367895">
      <w:pPr>
        <w:pStyle w:val="BodyText2"/>
        <w:numPr>
          <w:ilvl w:val="0"/>
          <w:numId w:val="6"/>
        </w:numPr>
        <w:ind w:left="1080"/>
        <w:rPr>
          <w:b w:val="0"/>
          <w:bCs w:val="0"/>
          <w:sz w:val="24"/>
          <w:szCs w:val="24"/>
        </w:rPr>
      </w:pPr>
      <w:r w:rsidRPr="008D54DA">
        <w:rPr>
          <w:b w:val="0"/>
          <w:bCs w:val="0"/>
          <w:sz w:val="24"/>
          <w:szCs w:val="24"/>
        </w:rPr>
        <w:t xml:space="preserve">California Community Colleges’ Board of Governors, </w:t>
      </w:r>
    </w:p>
    <w:p w14:paraId="5520AE3C" w14:textId="2847A2BD" w:rsidR="00E63568" w:rsidRPr="008D54DA" w:rsidRDefault="00A26F77" w:rsidP="00367895">
      <w:pPr>
        <w:pStyle w:val="BodyText2"/>
        <w:numPr>
          <w:ilvl w:val="0"/>
          <w:numId w:val="6"/>
        </w:numPr>
        <w:ind w:left="1080"/>
        <w:rPr>
          <w:b w:val="0"/>
          <w:bCs w:val="0"/>
          <w:sz w:val="24"/>
          <w:szCs w:val="24"/>
        </w:rPr>
      </w:pPr>
      <w:r w:rsidRPr="008D54DA">
        <w:rPr>
          <w:b w:val="0"/>
          <w:bCs w:val="0"/>
          <w:sz w:val="24"/>
          <w:szCs w:val="24"/>
        </w:rPr>
        <w:t xml:space="preserve">University </w:t>
      </w:r>
      <w:r w:rsidR="008D54DA">
        <w:rPr>
          <w:b w:val="0"/>
          <w:bCs w:val="0"/>
          <w:sz w:val="24"/>
          <w:szCs w:val="24"/>
        </w:rPr>
        <w:t>of California Board of Regents.</w:t>
      </w:r>
    </w:p>
    <w:p w14:paraId="3CFDD708" w14:textId="77777777" w:rsidR="008D54DA" w:rsidRPr="008D54DA" w:rsidRDefault="009F3D8E" w:rsidP="00367895">
      <w:pPr>
        <w:tabs>
          <w:tab w:val="left" w:pos="2430"/>
        </w:tabs>
        <w:ind w:left="720"/>
        <w:rPr>
          <w:i/>
        </w:rPr>
      </w:pPr>
      <w:r w:rsidRPr="009B4457">
        <w:rPr>
          <w:b/>
          <w:i/>
        </w:rPr>
        <w:t>RATIONALE</w:t>
      </w:r>
      <w:r w:rsidRPr="009B4457">
        <w:rPr>
          <w:rFonts w:ascii="Palatino Linotype" w:hAnsi="Palatino Linotype"/>
          <w:i/>
        </w:rPr>
        <w:t>:</w:t>
      </w:r>
      <w:r w:rsidR="00B57882" w:rsidRPr="00B57882">
        <w:rPr>
          <w:i/>
        </w:rPr>
        <w:t xml:space="preserve"> </w:t>
      </w:r>
      <w:r w:rsidR="00C960A7" w:rsidRPr="008D54DA">
        <w:rPr>
          <w:i/>
        </w:rPr>
        <w:t>Excerpt</w:t>
      </w:r>
      <w:r w:rsidR="004A568E" w:rsidRPr="008D54DA">
        <w:rPr>
          <w:i/>
        </w:rPr>
        <w:t xml:space="preserve"> </w:t>
      </w:r>
      <w:r w:rsidR="006D222C" w:rsidRPr="008D54DA">
        <w:rPr>
          <w:i/>
        </w:rPr>
        <w:t>from the CSU BOT September 2016 agenda</w:t>
      </w:r>
      <w:r w:rsidR="008D54DA" w:rsidRPr="008D54DA">
        <w:rPr>
          <w:i/>
        </w:rPr>
        <w:t>:</w:t>
      </w:r>
    </w:p>
    <w:p w14:paraId="5AE2D4A4" w14:textId="0589519A" w:rsidR="004A568E" w:rsidRPr="004A568E" w:rsidRDefault="008D54DA" w:rsidP="00367895">
      <w:pPr>
        <w:tabs>
          <w:tab w:val="left" w:pos="2430"/>
        </w:tabs>
        <w:ind w:left="720"/>
        <w:rPr>
          <w:i/>
        </w:rPr>
      </w:pPr>
      <w:r>
        <w:rPr>
          <w:b/>
          <w:i/>
        </w:rPr>
        <w:t xml:space="preserve"> </w:t>
      </w:r>
      <w:r w:rsidR="004A568E" w:rsidRPr="004A568E">
        <w:rPr>
          <w:i/>
        </w:rPr>
        <w:t xml:space="preserve">The preliminary 2017-2018 budget plan would allow the CSU to dedicate funds to Graduation Initiative 2025 priorities, meet its mandatory cost obligations, fund compensation and grow full- time equivalent student (FTES) enrollment by one percent. Additionally, progress can be made on infrastructure and deferred maintenance needs. </w:t>
      </w:r>
    </w:p>
    <w:p w14:paraId="4B047371" w14:textId="22CCF247" w:rsidR="004A568E" w:rsidRPr="004A568E" w:rsidRDefault="004A568E" w:rsidP="00367895">
      <w:pPr>
        <w:tabs>
          <w:tab w:val="left" w:pos="2430"/>
        </w:tabs>
        <w:ind w:left="720"/>
        <w:rPr>
          <w:i/>
        </w:rPr>
      </w:pPr>
      <w:r w:rsidRPr="004A568E">
        <w:rPr>
          <w:i/>
        </w:rPr>
        <w:t>The governor’s funding plan would provide a $157.2 million increase in 2017-2018. Under the most likely of scenarios, the governor’s funding plan would only afford the CSU the opportunity to fund required current employee compensation commitments and other mandatory cost increases and would not be enough to permanently invest in Graduation Initiative 2025, infrastructure, and F</w:t>
      </w:r>
      <w:r w:rsidR="008D54DA">
        <w:rPr>
          <w:i/>
        </w:rPr>
        <w:t>ull-time Equivalent Student (F</w:t>
      </w:r>
      <w:r w:rsidRPr="004A568E">
        <w:rPr>
          <w:i/>
        </w:rPr>
        <w:t>TES</w:t>
      </w:r>
      <w:r w:rsidR="008D54DA">
        <w:rPr>
          <w:i/>
        </w:rPr>
        <w:t>)</w:t>
      </w:r>
      <w:r w:rsidRPr="004A568E">
        <w:rPr>
          <w:i/>
        </w:rPr>
        <w:t xml:space="preserve"> enrollment growth. </w:t>
      </w:r>
    </w:p>
    <w:p w14:paraId="04CD840E" w14:textId="2519A122" w:rsidR="004A568E" w:rsidRPr="004A568E" w:rsidRDefault="004A568E" w:rsidP="00367895">
      <w:pPr>
        <w:tabs>
          <w:tab w:val="left" w:pos="2430"/>
        </w:tabs>
        <w:ind w:left="720"/>
        <w:rPr>
          <w:i/>
        </w:rPr>
      </w:pPr>
      <w:r w:rsidRPr="004A568E">
        <w:rPr>
          <w:i/>
        </w:rPr>
        <w:t xml:space="preserve">At this early stage, the state’s funding plan does not include sufficient resources to meet the CSU preliminary budget plan. As a result, additional resources above the governor’s funding commitment would be required. </w:t>
      </w:r>
    </w:p>
    <w:p w14:paraId="5B4FC3EF" w14:textId="77777777" w:rsidR="004A568E" w:rsidRPr="004A568E" w:rsidRDefault="004A568E" w:rsidP="00367895">
      <w:pPr>
        <w:tabs>
          <w:tab w:val="left" w:pos="1710"/>
        </w:tabs>
        <w:ind w:left="810"/>
        <w:rPr>
          <w:i/>
        </w:rPr>
      </w:pPr>
      <w:r w:rsidRPr="004A568E">
        <w:rPr>
          <w:b/>
          <w:bCs/>
          <w:i/>
        </w:rPr>
        <w:t xml:space="preserve">2017-2018 CSU Support Budget—Preliminary Planning Approach </w:t>
      </w:r>
    </w:p>
    <w:p w14:paraId="1E1C802B" w14:textId="3B347371" w:rsidR="004A568E" w:rsidRPr="004A568E" w:rsidRDefault="004A568E" w:rsidP="00367895">
      <w:pPr>
        <w:tabs>
          <w:tab w:val="left" w:pos="2430"/>
        </w:tabs>
        <w:ind w:left="720"/>
        <w:rPr>
          <w:i/>
        </w:rPr>
      </w:pPr>
      <w:r w:rsidRPr="004A568E">
        <w:rPr>
          <w:i/>
        </w:rPr>
        <w:lastRenderedPageBreak/>
        <w:t xml:space="preserve">This preliminary plan is to begin the discussion of a support budget request for 2017-2018. The planning approach represents a credible statement of the university’s key funding needs. At this </w:t>
      </w:r>
      <w:r w:rsidR="006242C5">
        <w:rPr>
          <w:i/>
        </w:rPr>
        <w:t>stage, it is important for the B</w:t>
      </w:r>
      <w:r w:rsidRPr="004A568E">
        <w:rPr>
          <w:i/>
        </w:rPr>
        <w:t xml:space="preserve">oard to provide input on fiscal policy priorities for 2017-2018. </w:t>
      </w:r>
    </w:p>
    <w:p w14:paraId="466DAB04" w14:textId="20E63650" w:rsidR="004A568E" w:rsidRPr="004A568E" w:rsidRDefault="004A568E" w:rsidP="00367895">
      <w:pPr>
        <w:tabs>
          <w:tab w:val="left" w:pos="2430"/>
        </w:tabs>
        <w:ind w:left="720"/>
        <w:rPr>
          <w:i/>
        </w:rPr>
      </w:pPr>
      <w:r w:rsidRPr="004A568E">
        <w:rPr>
          <w:i/>
        </w:rPr>
        <w:t xml:space="preserve">The preliminary incremental budget request and expenditure plan is summarized </w:t>
      </w:r>
      <w:r w:rsidR="00410F18">
        <w:rPr>
          <w:i/>
        </w:rPr>
        <w:t>as follows.</w:t>
      </w:r>
      <w:r w:rsidRPr="004A568E">
        <w:rPr>
          <w:i/>
        </w:rPr>
        <w:t xml:space="preserve"> These estimated recurring amounts are approximate and would add to our 2016-2017 base budget of $5.4 billion. </w:t>
      </w:r>
    </w:p>
    <w:p w14:paraId="5DE0B15F" w14:textId="77777777" w:rsidR="00410F18" w:rsidRDefault="00410F18" w:rsidP="00367895">
      <w:pPr>
        <w:tabs>
          <w:tab w:val="left" w:pos="1710"/>
        </w:tabs>
        <w:ind w:left="450"/>
        <w:rPr>
          <w:i/>
        </w:rPr>
      </w:pPr>
    </w:p>
    <w:p w14:paraId="47304FDD" w14:textId="77777777" w:rsidR="004A568E" w:rsidRPr="004A568E" w:rsidRDefault="004A568E" w:rsidP="00367895">
      <w:pPr>
        <w:tabs>
          <w:tab w:val="left" w:pos="1710"/>
        </w:tabs>
        <w:ind w:left="450"/>
        <w:rPr>
          <w:i/>
        </w:rPr>
      </w:pPr>
      <w:r w:rsidRPr="004A568E">
        <w:rPr>
          <w:b/>
          <w:bCs/>
          <w:i/>
        </w:rPr>
        <w:t xml:space="preserve">Proposed Incremental Expenditures: </w:t>
      </w:r>
    </w:p>
    <w:p w14:paraId="464D5601" w14:textId="0A71951B" w:rsidR="00410F18" w:rsidRDefault="00A6397F" w:rsidP="00367895">
      <w:pPr>
        <w:tabs>
          <w:tab w:val="left" w:pos="1710"/>
        </w:tabs>
        <w:ind w:left="450"/>
        <w:rPr>
          <w:i/>
        </w:rPr>
      </w:pPr>
      <w:r>
        <w:rPr>
          <w:i/>
        </w:rPr>
        <w:t>• Graduation Initiative 2025</w:t>
      </w:r>
      <w:r>
        <w:rPr>
          <w:i/>
        </w:rPr>
        <w:tab/>
      </w:r>
      <w:r>
        <w:rPr>
          <w:i/>
        </w:rPr>
        <w:tab/>
      </w:r>
      <w:r>
        <w:rPr>
          <w:i/>
        </w:rPr>
        <w:tab/>
      </w:r>
      <w:r>
        <w:rPr>
          <w:i/>
        </w:rPr>
        <w:tab/>
      </w:r>
      <w:r w:rsidR="00410F18">
        <w:rPr>
          <w:i/>
        </w:rPr>
        <w:t>$75m</w:t>
      </w:r>
      <w:r w:rsidR="004A568E" w:rsidRPr="004A568E">
        <w:rPr>
          <w:i/>
        </w:rPr>
        <w:br/>
        <w:t>• Full-Time Equivalent Student Growth: 3,600 FTES</w:t>
      </w:r>
      <w:r>
        <w:rPr>
          <w:i/>
        </w:rPr>
        <w:tab/>
        <w:t>$40m</w:t>
      </w:r>
      <w:r w:rsidR="004A568E" w:rsidRPr="004A568E">
        <w:rPr>
          <w:i/>
        </w:rPr>
        <w:t xml:space="preserve"> </w:t>
      </w:r>
    </w:p>
    <w:p w14:paraId="2374BD1C" w14:textId="1458D9F0" w:rsidR="004A568E" w:rsidRPr="004A568E" w:rsidRDefault="004A568E" w:rsidP="00367895">
      <w:pPr>
        <w:tabs>
          <w:tab w:val="left" w:pos="1710"/>
        </w:tabs>
        <w:ind w:left="450"/>
        <w:rPr>
          <w:i/>
        </w:rPr>
      </w:pPr>
      <w:r w:rsidRPr="004A568E">
        <w:rPr>
          <w:i/>
        </w:rPr>
        <w:t>• Compensation: Current Commitments</w:t>
      </w:r>
      <w:r w:rsidR="00A6397F">
        <w:rPr>
          <w:i/>
        </w:rPr>
        <w:tab/>
      </w:r>
      <w:r w:rsidR="00A6397F">
        <w:rPr>
          <w:i/>
        </w:rPr>
        <w:tab/>
      </w:r>
      <w:r w:rsidR="00A6397F">
        <w:rPr>
          <w:i/>
        </w:rPr>
        <w:tab/>
        <w:t>$140m</w:t>
      </w:r>
      <w:r w:rsidRPr="004A568E">
        <w:rPr>
          <w:i/>
        </w:rPr>
        <w:br/>
        <w:t>• Compensation: New</w:t>
      </w:r>
      <w:r w:rsidR="00A6397F">
        <w:rPr>
          <w:i/>
        </w:rPr>
        <w:tab/>
      </w:r>
      <w:r w:rsidR="00A6397F">
        <w:rPr>
          <w:i/>
        </w:rPr>
        <w:tab/>
      </w:r>
      <w:r w:rsidR="005E1079">
        <w:rPr>
          <w:i/>
        </w:rPr>
        <w:tab/>
      </w:r>
      <w:r w:rsidR="005E1079">
        <w:rPr>
          <w:i/>
        </w:rPr>
        <w:tab/>
      </w:r>
      <w:r w:rsidR="005E1079">
        <w:rPr>
          <w:i/>
        </w:rPr>
        <w:tab/>
      </w:r>
      <w:r w:rsidR="00A6397F">
        <w:rPr>
          <w:i/>
        </w:rPr>
        <w:t>$55m</w:t>
      </w:r>
      <w:r w:rsidRPr="004A568E">
        <w:rPr>
          <w:i/>
        </w:rPr>
        <w:br/>
        <w:t>• Facilities and Infrastructure Needs</w:t>
      </w:r>
      <w:r w:rsidR="00A6397F">
        <w:rPr>
          <w:i/>
        </w:rPr>
        <w:tab/>
      </w:r>
      <w:r w:rsidR="00A6397F">
        <w:rPr>
          <w:i/>
        </w:rPr>
        <w:tab/>
      </w:r>
      <w:r w:rsidR="005E1079">
        <w:rPr>
          <w:i/>
        </w:rPr>
        <w:tab/>
      </w:r>
      <w:r w:rsidR="00A6397F">
        <w:rPr>
          <w:i/>
        </w:rPr>
        <w:t>$10m</w:t>
      </w:r>
      <w:r w:rsidRPr="004A568E">
        <w:rPr>
          <w:i/>
        </w:rPr>
        <w:br/>
        <w:t>• Mandatory Costs</w:t>
      </w:r>
      <w:r w:rsidR="00A6397F">
        <w:rPr>
          <w:i/>
        </w:rPr>
        <w:tab/>
      </w:r>
      <w:r w:rsidR="00A6397F">
        <w:rPr>
          <w:i/>
        </w:rPr>
        <w:tab/>
      </w:r>
      <w:r w:rsidR="005E1079">
        <w:rPr>
          <w:i/>
        </w:rPr>
        <w:tab/>
      </w:r>
      <w:r w:rsidR="005E1079">
        <w:rPr>
          <w:i/>
        </w:rPr>
        <w:tab/>
      </w:r>
      <w:r w:rsidR="005E1079">
        <w:rPr>
          <w:i/>
        </w:rPr>
        <w:tab/>
      </w:r>
      <w:r w:rsidR="00A6397F">
        <w:rPr>
          <w:i/>
        </w:rPr>
        <w:t>$26m</w:t>
      </w:r>
      <w:r w:rsidRPr="004A568E">
        <w:rPr>
          <w:i/>
        </w:rPr>
        <w:t xml:space="preserve"> </w:t>
      </w:r>
    </w:p>
    <w:p w14:paraId="50879D42" w14:textId="50AC1866" w:rsidR="004A568E" w:rsidRPr="004A568E" w:rsidRDefault="004A568E" w:rsidP="00367895">
      <w:pPr>
        <w:tabs>
          <w:tab w:val="left" w:pos="1710"/>
        </w:tabs>
        <w:ind w:left="450"/>
        <w:rPr>
          <w:i/>
        </w:rPr>
      </w:pPr>
      <w:r w:rsidRPr="004A568E">
        <w:rPr>
          <w:b/>
          <w:bCs/>
          <w:i/>
        </w:rPr>
        <w:t>Total Incremental Expenditures</w:t>
      </w:r>
      <w:r w:rsidR="00A6397F">
        <w:rPr>
          <w:b/>
          <w:bCs/>
          <w:i/>
        </w:rPr>
        <w:tab/>
      </w:r>
      <w:r w:rsidR="00A6397F">
        <w:rPr>
          <w:b/>
          <w:bCs/>
          <w:i/>
        </w:rPr>
        <w:tab/>
      </w:r>
      <w:r w:rsidR="005E1079">
        <w:rPr>
          <w:b/>
          <w:bCs/>
          <w:i/>
        </w:rPr>
        <w:tab/>
      </w:r>
      <w:r w:rsidR="00A6397F">
        <w:rPr>
          <w:b/>
          <w:bCs/>
          <w:i/>
        </w:rPr>
        <w:t>$346m</w:t>
      </w:r>
      <w:r w:rsidRPr="004A568E">
        <w:rPr>
          <w:b/>
          <w:bCs/>
          <w:i/>
        </w:rPr>
        <w:t xml:space="preserve"> </w:t>
      </w:r>
    </w:p>
    <w:p w14:paraId="7DA8CEC1" w14:textId="77777777" w:rsidR="004A568E" w:rsidRPr="004A568E" w:rsidRDefault="004A568E" w:rsidP="00367895">
      <w:pPr>
        <w:tabs>
          <w:tab w:val="left" w:pos="1710"/>
        </w:tabs>
        <w:ind w:left="450"/>
        <w:rPr>
          <w:i/>
        </w:rPr>
      </w:pPr>
      <w:r w:rsidRPr="004A568E">
        <w:rPr>
          <w:b/>
          <w:bCs/>
          <w:i/>
        </w:rPr>
        <w:t xml:space="preserve">Anticipated Revenue </w:t>
      </w:r>
    </w:p>
    <w:p w14:paraId="5010C3E3" w14:textId="0786347F" w:rsidR="004A568E" w:rsidRPr="004A568E" w:rsidRDefault="004A568E" w:rsidP="00367895">
      <w:pPr>
        <w:numPr>
          <w:ilvl w:val="0"/>
          <w:numId w:val="8"/>
        </w:numPr>
        <w:tabs>
          <w:tab w:val="left" w:pos="1710"/>
        </w:tabs>
        <w:rPr>
          <w:i/>
        </w:rPr>
      </w:pPr>
      <w:r w:rsidRPr="004A568E">
        <w:rPr>
          <w:i/>
        </w:rPr>
        <w:t>General Fund Revenue from Governor’s Funding Plan</w:t>
      </w:r>
      <w:r w:rsidR="000B6B44">
        <w:rPr>
          <w:i/>
        </w:rPr>
        <w:tab/>
        <w:t>$157.2m</w:t>
      </w:r>
      <w:r w:rsidRPr="004A568E">
        <w:rPr>
          <w:i/>
        </w:rPr>
        <w:t xml:space="preserve"> </w:t>
      </w:r>
    </w:p>
    <w:p w14:paraId="42989CB1" w14:textId="78340506" w:rsidR="000B6B44" w:rsidRDefault="004A568E" w:rsidP="00367895">
      <w:pPr>
        <w:numPr>
          <w:ilvl w:val="0"/>
          <w:numId w:val="8"/>
        </w:numPr>
        <w:tabs>
          <w:tab w:val="left" w:pos="1710"/>
        </w:tabs>
        <w:rPr>
          <w:i/>
        </w:rPr>
      </w:pPr>
      <w:r w:rsidRPr="004A568E">
        <w:rPr>
          <w:i/>
        </w:rPr>
        <w:t>Net Tuition from Enrollment Growth</w:t>
      </w:r>
      <w:r w:rsidR="000B6B44">
        <w:rPr>
          <w:i/>
        </w:rPr>
        <w:tab/>
      </w:r>
      <w:r w:rsidR="000B6B44">
        <w:rPr>
          <w:i/>
        </w:rPr>
        <w:tab/>
      </w:r>
      <w:r w:rsidR="000B6B44">
        <w:rPr>
          <w:i/>
        </w:rPr>
        <w:tab/>
      </w:r>
      <w:r w:rsidR="000B6B44">
        <w:rPr>
          <w:i/>
        </w:rPr>
        <w:tab/>
        <w:t>$20m</w:t>
      </w:r>
    </w:p>
    <w:p w14:paraId="2E37CC62" w14:textId="099A1A2F" w:rsidR="004A568E" w:rsidRPr="004A568E" w:rsidRDefault="004A568E" w:rsidP="00367895">
      <w:pPr>
        <w:tabs>
          <w:tab w:val="left" w:pos="1710"/>
        </w:tabs>
        <w:ind w:left="360"/>
        <w:rPr>
          <w:i/>
        </w:rPr>
      </w:pPr>
      <w:r w:rsidRPr="004A568E">
        <w:rPr>
          <w:i/>
        </w:rPr>
        <w:t xml:space="preserve"> </w:t>
      </w:r>
      <w:r w:rsidRPr="004A568E">
        <w:rPr>
          <w:b/>
          <w:bCs/>
          <w:i/>
        </w:rPr>
        <w:t>Total Anticipated Revenue</w:t>
      </w:r>
      <w:r w:rsidR="000B6B44">
        <w:rPr>
          <w:b/>
          <w:bCs/>
          <w:i/>
        </w:rPr>
        <w:tab/>
      </w:r>
      <w:r w:rsidR="000B6B44">
        <w:rPr>
          <w:b/>
          <w:bCs/>
          <w:i/>
        </w:rPr>
        <w:tab/>
      </w:r>
      <w:r w:rsidR="000B6B44">
        <w:rPr>
          <w:b/>
          <w:bCs/>
          <w:i/>
        </w:rPr>
        <w:tab/>
      </w:r>
      <w:r w:rsidR="000B6B44">
        <w:rPr>
          <w:b/>
          <w:bCs/>
          <w:i/>
        </w:rPr>
        <w:tab/>
      </w:r>
      <w:r w:rsidR="000B6B44">
        <w:rPr>
          <w:b/>
          <w:bCs/>
          <w:i/>
        </w:rPr>
        <w:tab/>
        <w:t>$177.2m</w:t>
      </w:r>
      <w:r w:rsidRPr="004A568E">
        <w:rPr>
          <w:b/>
          <w:bCs/>
          <w:i/>
        </w:rPr>
        <w:t xml:space="preserve"> </w:t>
      </w:r>
    </w:p>
    <w:p w14:paraId="49512B1F" w14:textId="270F58E9" w:rsidR="004A568E" w:rsidRPr="004A568E" w:rsidRDefault="004A568E" w:rsidP="00367895">
      <w:pPr>
        <w:tabs>
          <w:tab w:val="left" w:pos="1710"/>
        </w:tabs>
        <w:ind w:left="450"/>
        <w:rPr>
          <w:i/>
        </w:rPr>
      </w:pPr>
      <w:r w:rsidRPr="004A568E">
        <w:rPr>
          <w:b/>
          <w:bCs/>
          <w:i/>
        </w:rPr>
        <w:t>Preliminary Support Budget Request</w:t>
      </w:r>
      <w:r w:rsidR="000B6B44">
        <w:rPr>
          <w:b/>
          <w:bCs/>
          <w:i/>
        </w:rPr>
        <w:tab/>
      </w:r>
      <w:r w:rsidR="000B6B44">
        <w:rPr>
          <w:b/>
          <w:bCs/>
          <w:i/>
        </w:rPr>
        <w:tab/>
      </w:r>
      <w:r w:rsidR="000B6B44">
        <w:rPr>
          <w:b/>
          <w:bCs/>
          <w:i/>
        </w:rPr>
        <w:tab/>
      </w:r>
      <w:r w:rsidR="000B6B44">
        <w:rPr>
          <w:b/>
          <w:bCs/>
          <w:i/>
        </w:rPr>
        <w:tab/>
        <w:t>$168.8m</w:t>
      </w:r>
      <w:r w:rsidRPr="004A568E">
        <w:rPr>
          <w:b/>
          <w:bCs/>
          <w:i/>
        </w:rPr>
        <w:t xml:space="preserve">  </w:t>
      </w:r>
    </w:p>
    <w:p w14:paraId="5849E342" w14:textId="77777777" w:rsidR="00EA54F9" w:rsidRDefault="00EA54F9" w:rsidP="00367895">
      <w:pPr>
        <w:tabs>
          <w:tab w:val="left" w:pos="1710"/>
        </w:tabs>
        <w:ind w:left="450"/>
        <w:rPr>
          <w:i/>
          <w:iCs/>
        </w:rPr>
      </w:pPr>
    </w:p>
    <w:p w14:paraId="68D65F39" w14:textId="596FF691" w:rsidR="009F3D8E" w:rsidRDefault="004A568E" w:rsidP="00367895">
      <w:pPr>
        <w:tabs>
          <w:tab w:val="left" w:pos="2430"/>
        </w:tabs>
        <w:ind w:left="720"/>
        <w:rPr>
          <w:i/>
        </w:rPr>
      </w:pPr>
      <w:r w:rsidRPr="004A568E">
        <w:rPr>
          <w:i/>
        </w:rPr>
        <w:t xml:space="preserve">The preliminary expenditure plan continues to addresses many of the CSU’s educational and operational needs. But if required to do so, it would be exceedingly difficult for the CSU to operate within the confines of the governor’s funding plan without receiving additional resources. Increased mandatory costs and current compensation commitment costs together would cost approximately $166 </w:t>
      </w:r>
      <w:r w:rsidRPr="008D54DA">
        <w:rPr>
          <w:rStyle w:val="normaltextrun"/>
          <w:iCs/>
        </w:rPr>
        <w:t>million</w:t>
      </w:r>
      <w:r w:rsidRPr="004A568E">
        <w:rPr>
          <w:i/>
        </w:rPr>
        <w:t xml:space="preserve">—more than the $157.2 million available from the governor’s funding plan. Without additional revenue, this could require strategies that include reductions to campus budgets and minimal investment in Graduation Initiative 2025 activities, FTES enrollment growth, and infrastructure. This scenario would not serve prospective and current student needs, would not address the deferred maintenance and critical infrastructure backlog, and would not sustain fiscal stability within the CSU.  Accounting for enrollment growth revenue and the governor’s funding commitment of $157.2 million, these recommended items would require additional new ongoing revenues from state and tuition revenue sources of roughly $168.8 million. </w:t>
      </w:r>
      <w:r w:rsidR="00C960A7" w:rsidRPr="00C960A7">
        <w:rPr>
          <w:b/>
          <w:i/>
        </w:rPr>
        <w:t>End of Excerpt</w:t>
      </w:r>
      <w:r w:rsidR="00C960A7">
        <w:rPr>
          <w:i/>
        </w:rPr>
        <w:t>.</w:t>
      </w:r>
    </w:p>
    <w:p w14:paraId="4837C738" w14:textId="72D29198" w:rsidR="00C960A7" w:rsidRPr="00EA54F9" w:rsidRDefault="00C960A7" w:rsidP="00367895">
      <w:pPr>
        <w:tabs>
          <w:tab w:val="left" w:pos="2430"/>
        </w:tabs>
        <w:ind w:left="720"/>
        <w:rPr>
          <w:i/>
        </w:rPr>
      </w:pPr>
      <w:r>
        <w:rPr>
          <w:i/>
        </w:rPr>
        <w:t>The tenure density in the</w:t>
      </w:r>
      <w:r w:rsidR="00C3627F">
        <w:rPr>
          <w:i/>
        </w:rPr>
        <w:t xml:space="preserve"> CSU has fallen in the last many years and is </w:t>
      </w:r>
      <w:r w:rsidR="00666092">
        <w:rPr>
          <w:i/>
        </w:rPr>
        <w:t xml:space="preserve">currently around 55%.  The ASCSU has written many resolutions urging the CSU to allocate resources to increase tenure density to improve student success, </w:t>
      </w:r>
      <w:r w:rsidR="00666092" w:rsidRPr="008D54DA">
        <w:rPr>
          <w:rStyle w:val="normaltextrun"/>
          <w:iCs/>
        </w:rPr>
        <w:t>completion</w:t>
      </w:r>
      <w:r w:rsidR="00666092">
        <w:rPr>
          <w:i/>
        </w:rPr>
        <w:t>, access and academic quality.  As a result, a joint task force of administrators and senators has been formed to develop a plan to increase tenure density. Allocating at least half the $75m dollars requested for Graduation Initiative 2025 to the hiring of ten</w:t>
      </w:r>
      <w:r w:rsidR="0069140E">
        <w:rPr>
          <w:i/>
        </w:rPr>
        <w:t>ure track faculty will assist in</w:t>
      </w:r>
      <w:r w:rsidR="00666092">
        <w:rPr>
          <w:i/>
        </w:rPr>
        <w:t xml:space="preserve"> increasing tenure densit</w:t>
      </w:r>
      <w:r w:rsidR="00FC4DC3">
        <w:rPr>
          <w:i/>
        </w:rPr>
        <w:t>y, quality and student success.</w:t>
      </w:r>
      <w:r w:rsidR="00666092">
        <w:rPr>
          <w:i/>
        </w:rPr>
        <w:t xml:space="preserve"> </w:t>
      </w:r>
    </w:p>
    <w:sectPr w:rsidR="00C960A7" w:rsidRPr="00EA54F9" w:rsidSect="00367895">
      <w:headerReference w:type="default" r:id="rId7"/>
      <w:footerReference w:type="default" r:id="rId8"/>
      <w:headerReference w:type="first" r:id="rId9"/>
      <w:pgSz w:w="12240" w:h="15840" w:code="1"/>
      <w:pgMar w:top="1296" w:right="1296" w:bottom="1296" w:left="1296"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2C54F" w14:textId="77777777" w:rsidR="00A95BA1" w:rsidRDefault="00A95BA1">
      <w:r>
        <w:separator/>
      </w:r>
    </w:p>
  </w:endnote>
  <w:endnote w:type="continuationSeparator" w:id="0">
    <w:p w14:paraId="2B591039" w14:textId="77777777" w:rsidR="00A95BA1" w:rsidRDefault="00A9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BDCC0" w14:textId="77777777" w:rsidR="00A26F77" w:rsidRDefault="00A26F7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D23FA" w14:textId="77777777" w:rsidR="00A95BA1" w:rsidRDefault="00A95BA1">
      <w:r>
        <w:separator/>
      </w:r>
    </w:p>
  </w:footnote>
  <w:footnote w:type="continuationSeparator" w:id="0">
    <w:p w14:paraId="12583C28" w14:textId="77777777" w:rsidR="00A95BA1" w:rsidRDefault="00A95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5375E" w14:textId="074E88D8" w:rsidR="00E63568" w:rsidRDefault="00B57882" w:rsidP="008D54DA">
    <w:pPr>
      <w:pStyle w:val="BodyText2"/>
      <w:tabs>
        <w:tab w:val="right" w:pos="8640"/>
      </w:tabs>
      <w:rPr>
        <w:b w:val="0"/>
        <w:bCs w:val="0"/>
        <w:sz w:val="24"/>
      </w:rPr>
    </w:pPr>
    <w:r>
      <w:rPr>
        <w:b w:val="0"/>
        <w:bCs w:val="0"/>
        <w:sz w:val="24"/>
      </w:rPr>
      <w:t>Academic Senate CSU</w:t>
    </w:r>
    <w:r w:rsidR="00A26F77" w:rsidRPr="009B4457">
      <w:rPr>
        <w:b w:val="0"/>
        <w:bCs w:val="0"/>
        <w:sz w:val="24"/>
      </w:rPr>
      <w:tab/>
    </w:r>
    <w:r w:rsidR="008D54DA">
      <w:rPr>
        <w:b w:val="0"/>
        <w:bCs w:val="0"/>
        <w:sz w:val="24"/>
      </w:rPr>
      <w:t>AS-3273-16/FGA</w:t>
    </w:r>
  </w:p>
  <w:sdt>
    <w:sdtPr>
      <w:rPr>
        <w:b w:val="0"/>
        <w:bCs w:val="0"/>
        <w:sz w:val="24"/>
      </w:rPr>
      <w:id w:val="250395305"/>
      <w:docPartObj>
        <w:docPartGallery w:val="Page Numbers (Top of Page)"/>
        <w:docPartUnique/>
      </w:docPartObj>
    </w:sdtPr>
    <w:sdtEndPr/>
    <w:sdtContent>
      <w:p w14:paraId="2E39CF57" w14:textId="471018F9" w:rsidR="009B4457" w:rsidRDefault="00B57882" w:rsidP="008D54DA">
        <w:pPr>
          <w:pStyle w:val="BodyText2"/>
          <w:tabs>
            <w:tab w:val="right" w:pos="8640"/>
          </w:tabs>
          <w:rPr>
            <w:b w:val="0"/>
            <w:bCs w:val="0"/>
            <w:sz w:val="24"/>
          </w:rPr>
        </w:pPr>
        <w:r w:rsidRPr="009B4457">
          <w:rPr>
            <w:b w:val="0"/>
            <w:bCs w:val="0"/>
            <w:sz w:val="24"/>
          </w:rPr>
          <w:t xml:space="preserve">Page </w:t>
        </w:r>
        <w:r w:rsidRPr="009B4457">
          <w:rPr>
            <w:b w:val="0"/>
            <w:bCs w:val="0"/>
            <w:sz w:val="24"/>
          </w:rPr>
          <w:fldChar w:fldCharType="begin"/>
        </w:r>
        <w:r w:rsidRPr="009B4457">
          <w:rPr>
            <w:b w:val="0"/>
            <w:bCs w:val="0"/>
            <w:sz w:val="24"/>
          </w:rPr>
          <w:instrText xml:space="preserve"> PAGE </w:instrText>
        </w:r>
        <w:r w:rsidRPr="009B4457">
          <w:rPr>
            <w:b w:val="0"/>
            <w:bCs w:val="0"/>
            <w:sz w:val="24"/>
          </w:rPr>
          <w:fldChar w:fldCharType="separate"/>
        </w:r>
        <w:r w:rsidR="00860E80">
          <w:rPr>
            <w:b w:val="0"/>
            <w:bCs w:val="0"/>
            <w:noProof/>
            <w:sz w:val="24"/>
          </w:rPr>
          <w:t>2</w:t>
        </w:r>
        <w:r w:rsidRPr="009B4457">
          <w:rPr>
            <w:b w:val="0"/>
            <w:bCs w:val="0"/>
            <w:sz w:val="24"/>
          </w:rPr>
          <w:fldChar w:fldCharType="end"/>
        </w:r>
        <w:r w:rsidRPr="009B4457">
          <w:rPr>
            <w:b w:val="0"/>
            <w:bCs w:val="0"/>
            <w:sz w:val="24"/>
          </w:rPr>
          <w:t xml:space="preserve"> of </w:t>
        </w:r>
        <w:r w:rsidRPr="009B4457">
          <w:rPr>
            <w:b w:val="0"/>
            <w:bCs w:val="0"/>
            <w:sz w:val="24"/>
          </w:rPr>
          <w:fldChar w:fldCharType="begin"/>
        </w:r>
        <w:r w:rsidRPr="009B4457">
          <w:rPr>
            <w:b w:val="0"/>
            <w:bCs w:val="0"/>
            <w:sz w:val="24"/>
          </w:rPr>
          <w:instrText xml:space="preserve"> NUMPAGES  </w:instrText>
        </w:r>
        <w:r w:rsidRPr="009B4457">
          <w:rPr>
            <w:b w:val="0"/>
            <w:bCs w:val="0"/>
            <w:sz w:val="24"/>
          </w:rPr>
          <w:fldChar w:fldCharType="separate"/>
        </w:r>
        <w:r w:rsidR="00860E80">
          <w:rPr>
            <w:b w:val="0"/>
            <w:bCs w:val="0"/>
            <w:noProof/>
            <w:sz w:val="24"/>
          </w:rPr>
          <w:t>2</w:t>
        </w:r>
        <w:r w:rsidRPr="009B4457">
          <w:rPr>
            <w:b w:val="0"/>
            <w:bCs w:val="0"/>
            <w:sz w:val="24"/>
          </w:rPr>
          <w:fldChar w:fldCharType="end"/>
        </w:r>
        <w:r w:rsidR="008D7086">
          <w:tab/>
        </w:r>
        <w:r w:rsidR="008D54DA">
          <w:rPr>
            <w:b w:val="0"/>
            <w:bCs w:val="0"/>
            <w:sz w:val="24"/>
          </w:rPr>
          <w:t>November 3-4, 2016</w:t>
        </w:r>
      </w:p>
      <w:p w14:paraId="340F34DD" w14:textId="0CC9745D" w:rsidR="00E63568" w:rsidRPr="008D54DA" w:rsidRDefault="008D54DA" w:rsidP="008D54DA">
        <w:pPr>
          <w:tabs>
            <w:tab w:val="right" w:pos="8640"/>
          </w:tabs>
          <w:jc w:val="right"/>
        </w:pPr>
        <w:r w:rsidRPr="008D54DA">
          <w:t>F</w:t>
        </w:r>
        <w:r w:rsidRPr="008D54DA">
          <w:rPr>
            <w:bCs/>
          </w:rPr>
          <w:t>irst Reading/W</w:t>
        </w:r>
        <w:r w:rsidRPr="008D54DA">
          <w:t>aiver</w:t>
        </w:r>
      </w:p>
    </w:sdtContent>
  </w:sdt>
  <w:p w14:paraId="466BDFB8" w14:textId="2986CC27" w:rsidR="00A26F77" w:rsidRDefault="0021134D" w:rsidP="002A49C2">
    <w:pPr>
      <w:pStyle w:val="Heading1"/>
      <w:tabs>
        <w:tab w:val="left" w:pos="6840"/>
      </w:tabs>
    </w:pPr>
    <w:r>
      <w:rPr>
        <w:b w:val="0"/>
        <w:bCs w:val="0"/>
        <w:noProof/>
        <w:sz w:val="24"/>
      </w:rPr>
      <mc:AlternateContent>
        <mc:Choice Requires="wps">
          <w:drawing>
            <wp:anchor distT="0" distB="0" distL="114300" distR="114300" simplePos="0" relativeHeight="251657216" behindDoc="1" locked="0" layoutInCell="0" allowOverlap="1" wp14:anchorId="0D73A442" wp14:editId="45C4CA04">
              <wp:simplePos x="0" y="0"/>
              <wp:positionH relativeFrom="margin">
                <wp:posOffset>459740</wp:posOffset>
              </wp:positionH>
              <wp:positionV relativeFrom="margin">
                <wp:posOffset>2045335</wp:posOffset>
              </wp:positionV>
              <wp:extent cx="5237480" cy="3142615"/>
              <wp:effectExtent l="0" t="1149985" r="0" b="65087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1F23FF" w14:textId="77777777" w:rsidR="0021134D" w:rsidRDefault="0021134D" w:rsidP="0021134D">
                          <w:pPr>
                            <w:pStyle w:val="NormalWeb"/>
                            <w:spacing w:before="0" w:beforeAutospacing="0" w:after="0" w:afterAutospacing="0"/>
                            <w:jc w:val="center"/>
                          </w:pPr>
                          <w:r>
                            <w:rPr>
                              <w:rFonts w:ascii="Calibri" w:hAnsi="Calibri"/>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73A442" id="_x0000_t202" coordsize="21600,21600" o:spt="202" path="m,l,21600r21600,l21600,xe">
              <v:stroke joinstyle="miter"/>
              <v:path gradientshapeok="t" o:connecttype="rect"/>
            </v:shapetype>
            <v:shape id="WordArt 4" o:spid="_x0000_s1026" type="#_x0000_t202" style="position:absolute;margin-left:36.2pt;margin-top:161.05pt;width:412.4pt;height:247.45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qG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" o:allowincell="f" filled="f" stroked="f">
              <v:stroke joinstyle="round"/>
              <o:lock v:ext="edit" shapetype="t"/>
              <v:textbox style="mso-fit-shape-to-text:t">
                <w:txbxContent>
                  <w:p w14:paraId="381F23FF" w14:textId="77777777" w:rsidR="0021134D" w:rsidRDefault="0021134D" w:rsidP="0021134D">
                    <w:pPr>
                      <w:pStyle w:val="NormalWeb"/>
                      <w:spacing w:before="0" w:beforeAutospacing="0" w:after="0" w:afterAutospacing="0"/>
                      <w:jc w:val="center"/>
                    </w:pPr>
                    <w:r>
                      <w:rPr>
                        <w:rFonts w:ascii="Calibri" w:hAnsi="Calibri"/>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1"/>
  <w:bookmarkStart w:id="2" w:name="OLE_LINK2"/>
  <w:bookmarkStart w:id="3" w:name="_Hlk176836508"/>
  <w:p w14:paraId="561C4689" w14:textId="77777777" w:rsidR="009B4457" w:rsidRPr="002C47C8" w:rsidRDefault="00860E80" w:rsidP="002A49C2">
    <w:pPr>
      <w:pStyle w:val="Heading1"/>
      <w:suppressLineNumbers/>
      <w:tabs>
        <w:tab w:val="left" w:pos="6840"/>
        <w:tab w:val="right" w:pos="10062"/>
      </w:tabs>
      <w:jc w:val="center"/>
      <w:rPr>
        <w:smallCaps/>
        <w:szCs w:val="28"/>
      </w:rPr>
    </w:pPr>
    <w:sdt>
      <w:sdtPr>
        <w:rPr>
          <w:smallCaps/>
          <w:szCs w:val="28"/>
        </w:rPr>
        <w:id w:val="-925872621"/>
        <w:docPartObj>
          <w:docPartGallery w:val="Watermarks"/>
          <w:docPartUnique/>
        </w:docPartObj>
      </w:sdtPr>
      <w:sdtEndPr/>
      <w:sdtContent>
        <w:r>
          <w:rPr>
            <w:smallCaps/>
            <w:noProof/>
            <w:color w:val="000000" w:themeColor="text1"/>
            <w:szCs w:val="28"/>
            <w:lang w:eastAsia="zh-TW"/>
          </w:rPr>
          <w:pict w14:anchorId="287143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sdtContent>
    </w:sdt>
    <w:r w:rsidR="009B4457" w:rsidRPr="002C47C8">
      <w:rPr>
        <w:smallCaps/>
        <w:szCs w:val="28"/>
      </w:rPr>
      <w:t>Academic Senate</w:t>
    </w:r>
  </w:p>
  <w:p w14:paraId="15CACA24" w14:textId="77777777" w:rsidR="009B4457" w:rsidRPr="002C47C8" w:rsidRDefault="009B4457" w:rsidP="002A49C2">
    <w:pPr>
      <w:pStyle w:val="Heading1"/>
      <w:suppressLineNumbers/>
      <w:tabs>
        <w:tab w:val="left" w:pos="6840"/>
      </w:tabs>
      <w:jc w:val="center"/>
      <w:rPr>
        <w:smallCaps/>
        <w:szCs w:val="28"/>
      </w:rPr>
    </w:pPr>
    <w:r w:rsidRPr="002C47C8">
      <w:rPr>
        <w:smallCaps/>
        <w:szCs w:val="28"/>
      </w:rPr>
      <w:t>of</w:t>
    </w:r>
  </w:p>
  <w:p w14:paraId="1FB98EC9" w14:textId="77777777" w:rsidR="009B4457" w:rsidRPr="002C47C8" w:rsidRDefault="009B4457" w:rsidP="002A49C2">
    <w:pPr>
      <w:pStyle w:val="Heading1"/>
      <w:suppressLineNumbers/>
      <w:tabs>
        <w:tab w:val="left" w:pos="6840"/>
      </w:tabs>
      <w:jc w:val="center"/>
      <w:rPr>
        <w:smallCaps/>
        <w:szCs w:val="28"/>
      </w:rPr>
    </w:pPr>
    <w:r w:rsidRPr="002C47C8">
      <w:rPr>
        <w:smallCaps/>
        <w:szCs w:val="28"/>
      </w:rPr>
      <w:t>The California State University</w:t>
    </w:r>
  </w:p>
  <w:bookmarkEnd w:id="1"/>
  <w:bookmarkEnd w:id="2"/>
  <w:bookmarkEnd w:id="3"/>
  <w:p w14:paraId="2CA78857" w14:textId="77777777" w:rsidR="00A26F77" w:rsidRDefault="00A26F77" w:rsidP="002A49C2">
    <w:pPr>
      <w:pStyle w:val="Heading1"/>
      <w:suppressLineNumber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4626"/>
    <w:multiLevelType w:val="hybridMultilevel"/>
    <w:tmpl w:val="F8822D90"/>
    <w:lvl w:ilvl="0" w:tplc="0FB873E4">
      <w:start w:val="1"/>
      <w:numFmt w:val="decimal"/>
      <w:lvlText w:val="%1."/>
      <w:lvlJc w:val="left"/>
      <w:pPr>
        <w:ind w:left="749" w:hanging="360"/>
      </w:pPr>
      <w:rPr>
        <w:rFonts w:hint="default"/>
        <w:b/>
        <w:sz w:val="24"/>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
    <w:nsid w:val="06B87157"/>
    <w:multiLevelType w:val="hybridMultilevel"/>
    <w:tmpl w:val="8FD6A08E"/>
    <w:lvl w:ilvl="0" w:tplc="0FB873E4">
      <w:start w:val="1"/>
      <w:numFmt w:val="decimal"/>
      <w:lvlText w:val="%1."/>
      <w:lvlJc w:val="left"/>
      <w:pPr>
        <w:ind w:left="720" w:hanging="360"/>
      </w:pPr>
      <w:rPr>
        <w:rFonts w:hint="default"/>
        <w:b/>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E2F55"/>
    <w:multiLevelType w:val="hybridMultilevel"/>
    <w:tmpl w:val="DD34CDAE"/>
    <w:lvl w:ilvl="0" w:tplc="958219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2F20F4"/>
    <w:multiLevelType w:val="hybridMultilevel"/>
    <w:tmpl w:val="AF9C92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ED6B96"/>
    <w:multiLevelType w:val="hybridMultilevel"/>
    <w:tmpl w:val="4A40DD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F72A6"/>
    <w:multiLevelType w:val="hybridMultilevel"/>
    <w:tmpl w:val="1794D3D4"/>
    <w:lvl w:ilvl="0" w:tplc="04090001">
      <w:start w:val="1"/>
      <w:numFmt w:val="bullet"/>
      <w:lvlText w:val=""/>
      <w:lvlJc w:val="left"/>
      <w:pPr>
        <w:ind w:left="720" w:hanging="360"/>
      </w:pPr>
      <w:rPr>
        <w:rFonts w:ascii="Symbol" w:hAnsi="Symbol" w:hint="default"/>
        <w:b/>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0779FF"/>
    <w:multiLevelType w:val="multilevel"/>
    <w:tmpl w:val="E106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C7448D"/>
    <w:multiLevelType w:val="multilevel"/>
    <w:tmpl w:val="10C4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4"/>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BC"/>
    <w:rsid w:val="00006410"/>
    <w:rsid w:val="00022000"/>
    <w:rsid w:val="000248C3"/>
    <w:rsid w:val="00073681"/>
    <w:rsid w:val="00092DC0"/>
    <w:rsid w:val="000B6B44"/>
    <w:rsid w:val="001573B2"/>
    <w:rsid w:val="00161688"/>
    <w:rsid w:val="0017329E"/>
    <w:rsid w:val="00176235"/>
    <w:rsid w:val="0019055C"/>
    <w:rsid w:val="001E568B"/>
    <w:rsid w:val="001F331D"/>
    <w:rsid w:val="0021134D"/>
    <w:rsid w:val="00211483"/>
    <w:rsid w:val="002119B5"/>
    <w:rsid w:val="00221CE9"/>
    <w:rsid w:val="00226209"/>
    <w:rsid w:val="00232C9C"/>
    <w:rsid w:val="00243A0E"/>
    <w:rsid w:val="002530C0"/>
    <w:rsid w:val="00257E4D"/>
    <w:rsid w:val="0026765E"/>
    <w:rsid w:val="002A49C2"/>
    <w:rsid w:val="002A74E0"/>
    <w:rsid w:val="002F37CF"/>
    <w:rsid w:val="003129C8"/>
    <w:rsid w:val="00322B6C"/>
    <w:rsid w:val="00347B2B"/>
    <w:rsid w:val="00367895"/>
    <w:rsid w:val="00376DD8"/>
    <w:rsid w:val="003E1822"/>
    <w:rsid w:val="00410F18"/>
    <w:rsid w:val="00495E61"/>
    <w:rsid w:val="004A568E"/>
    <w:rsid w:val="004C04F8"/>
    <w:rsid w:val="004D0241"/>
    <w:rsid w:val="004F1A91"/>
    <w:rsid w:val="004F3563"/>
    <w:rsid w:val="00505EAE"/>
    <w:rsid w:val="00514FAE"/>
    <w:rsid w:val="0052097B"/>
    <w:rsid w:val="005400F0"/>
    <w:rsid w:val="00573DA9"/>
    <w:rsid w:val="005C684A"/>
    <w:rsid w:val="005E1079"/>
    <w:rsid w:val="005E3367"/>
    <w:rsid w:val="005E485F"/>
    <w:rsid w:val="006037DA"/>
    <w:rsid w:val="00606DCA"/>
    <w:rsid w:val="006242C5"/>
    <w:rsid w:val="00624A1F"/>
    <w:rsid w:val="0063108C"/>
    <w:rsid w:val="0065642B"/>
    <w:rsid w:val="00666092"/>
    <w:rsid w:val="0069140E"/>
    <w:rsid w:val="006A543D"/>
    <w:rsid w:val="006B712D"/>
    <w:rsid w:val="006D222C"/>
    <w:rsid w:val="006E6267"/>
    <w:rsid w:val="006F6028"/>
    <w:rsid w:val="00706133"/>
    <w:rsid w:val="00773926"/>
    <w:rsid w:val="00774AD5"/>
    <w:rsid w:val="007A79EF"/>
    <w:rsid w:val="007E0BA0"/>
    <w:rsid w:val="007F5F55"/>
    <w:rsid w:val="00817471"/>
    <w:rsid w:val="00860E80"/>
    <w:rsid w:val="00860FD4"/>
    <w:rsid w:val="00894634"/>
    <w:rsid w:val="008D54DA"/>
    <w:rsid w:val="008D7086"/>
    <w:rsid w:val="008D797F"/>
    <w:rsid w:val="00903F0F"/>
    <w:rsid w:val="00916FE8"/>
    <w:rsid w:val="009A0FF7"/>
    <w:rsid w:val="009B4457"/>
    <w:rsid w:val="009F3D8E"/>
    <w:rsid w:val="009F6BD6"/>
    <w:rsid w:val="00A028E0"/>
    <w:rsid w:val="00A26F77"/>
    <w:rsid w:val="00A325EC"/>
    <w:rsid w:val="00A32F67"/>
    <w:rsid w:val="00A52BC8"/>
    <w:rsid w:val="00A55250"/>
    <w:rsid w:val="00A6397F"/>
    <w:rsid w:val="00A71C6E"/>
    <w:rsid w:val="00A81CAE"/>
    <w:rsid w:val="00A8386D"/>
    <w:rsid w:val="00A932FA"/>
    <w:rsid w:val="00A95BA1"/>
    <w:rsid w:val="00AA7B80"/>
    <w:rsid w:val="00AD61B9"/>
    <w:rsid w:val="00AE7F63"/>
    <w:rsid w:val="00B039BB"/>
    <w:rsid w:val="00B0487C"/>
    <w:rsid w:val="00B409C2"/>
    <w:rsid w:val="00B57882"/>
    <w:rsid w:val="00B80FCE"/>
    <w:rsid w:val="00BA2B4F"/>
    <w:rsid w:val="00BC65A7"/>
    <w:rsid w:val="00C318A2"/>
    <w:rsid w:val="00C3627F"/>
    <w:rsid w:val="00C432D0"/>
    <w:rsid w:val="00C960A7"/>
    <w:rsid w:val="00CC58EF"/>
    <w:rsid w:val="00CD53F2"/>
    <w:rsid w:val="00CE1F2B"/>
    <w:rsid w:val="00D1168A"/>
    <w:rsid w:val="00D753E7"/>
    <w:rsid w:val="00DD707A"/>
    <w:rsid w:val="00E06E73"/>
    <w:rsid w:val="00E07BCD"/>
    <w:rsid w:val="00E30476"/>
    <w:rsid w:val="00E460C1"/>
    <w:rsid w:val="00E63568"/>
    <w:rsid w:val="00E9644A"/>
    <w:rsid w:val="00EA54F9"/>
    <w:rsid w:val="00EC3009"/>
    <w:rsid w:val="00EC589C"/>
    <w:rsid w:val="00EC78F7"/>
    <w:rsid w:val="00ED57EF"/>
    <w:rsid w:val="00F0318B"/>
    <w:rsid w:val="00F273E9"/>
    <w:rsid w:val="00F431C7"/>
    <w:rsid w:val="00F5115C"/>
    <w:rsid w:val="00F5545A"/>
    <w:rsid w:val="00F87ABB"/>
    <w:rsid w:val="00F9308D"/>
    <w:rsid w:val="00F93FB8"/>
    <w:rsid w:val="00FC4DC3"/>
    <w:rsid w:val="00FE1DBC"/>
    <w:rsid w:val="00FE69F1"/>
    <w:rsid w:val="00FF721F"/>
    <w:rsid w:val="5182B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F3E696"/>
  <w15:docId w15:val="{9263AD62-BFC6-41C0-BB79-F8E4905D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1C7"/>
    <w:rPr>
      <w:sz w:val="24"/>
    </w:rPr>
  </w:style>
  <w:style w:type="paragraph" w:styleId="Heading1">
    <w:name w:val="heading 1"/>
    <w:basedOn w:val="Normal"/>
    <w:next w:val="Normal"/>
    <w:qFormat/>
    <w:rsid w:val="00F431C7"/>
    <w:pPr>
      <w:keepNext/>
      <w:outlineLvl w:val="0"/>
    </w:pPr>
    <w:rPr>
      <w:b/>
      <w:bCs/>
      <w:sz w:val="28"/>
    </w:rPr>
  </w:style>
  <w:style w:type="paragraph" w:styleId="Heading2">
    <w:name w:val="heading 2"/>
    <w:basedOn w:val="Normal"/>
    <w:next w:val="Normal"/>
    <w:qFormat/>
    <w:rsid w:val="00F431C7"/>
    <w:pPr>
      <w:keepNext/>
      <w:tabs>
        <w:tab w:val="right" w:pos="8640"/>
      </w:tabs>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31C7"/>
    <w:pPr>
      <w:spacing w:after="240"/>
    </w:pPr>
    <w:rPr>
      <w:rFonts w:ascii="Garamond" w:hAnsi="Garamond"/>
      <w:sz w:val="22"/>
      <w:szCs w:val="24"/>
    </w:rPr>
  </w:style>
  <w:style w:type="paragraph" w:customStyle="1" w:styleId="SectionHeading">
    <w:name w:val="Section Heading"/>
    <w:basedOn w:val="BodyText"/>
    <w:rsid w:val="00F431C7"/>
    <w:pPr>
      <w:spacing w:before="480" w:after="360"/>
      <w:jc w:val="center"/>
    </w:pPr>
    <w:rPr>
      <w:b/>
      <w:bCs/>
      <w:smallCaps/>
      <w:sz w:val="26"/>
    </w:rPr>
  </w:style>
  <w:style w:type="paragraph" w:customStyle="1" w:styleId="BulletedList">
    <w:name w:val="Bulleted List"/>
    <w:basedOn w:val="BodyText"/>
    <w:rsid w:val="00F431C7"/>
    <w:pPr>
      <w:spacing w:after="60"/>
      <w:ind w:left="1080" w:right="720" w:hanging="360"/>
    </w:pPr>
  </w:style>
  <w:style w:type="character" w:styleId="LineNumber">
    <w:name w:val="line number"/>
    <w:basedOn w:val="DefaultParagraphFont"/>
    <w:rsid w:val="00F431C7"/>
  </w:style>
  <w:style w:type="paragraph" w:styleId="Header">
    <w:name w:val="header"/>
    <w:basedOn w:val="Normal"/>
    <w:link w:val="HeaderChar"/>
    <w:rsid w:val="00F431C7"/>
    <w:pPr>
      <w:tabs>
        <w:tab w:val="center" w:pos="4320"/>
        <w:tab w:val="right" w:pos="8640"/>
      </w:tabs>
    </w:pPr>
  </w:style>
  <w:style w:type="paragraph" w:styleId="Footer">
    <w:name w:val="footer"/>
    <w:basedOn w:val="Normal"/>
    <w:rsid w:val="00F431C7"/>
    <w:pPr>
      <w:tabs>
        <w:tab w:val="center" w:pos="4320"/>
        <w:tab w:val="right" w:pos="8640"/>
      </w:tabs>
    </w:pPr>
  </w:style>
  <w:style w:type="character" w:styleId="PageNumber">
    <w:name w:val="page number"/>
    <w:basedOn w:val="DefaultParagraphFont"/>
    <w:rsid w:val="00F431C7"/>
  </w:style>
  <w:style w:type="paragraph" w:styleId="BodyText2">
    <w:name w:val="Body Text 2"/>
    <w:basedOn w:val="Normal"/>
    <w:link w:val="BodyText2Char"/>
    <w:qFormat/>
    <w:rsid w:val="00F431C7"/>
    <w:rPr>
      <w:b/>
      <w:bCs/>
      <w:sz w:val="28"/>
    </w:rPr>
  </w:style>
  <w:style w:type="character" w:styleId="Hyperlink">
    <w:name w:val="Hyperlink"/>
    <w:basedOn w:val="DefaultParagraphFont"/>
    <w:rsid w:val="0063108C"/>
    <w:rPr>
      <w:color w:val="0000FF" w:themeColor="hyperlink"/>
      <w:u w:val="single"/>
    </w:rPr>
  </w:style>
  <w:style w:type="paragraph" w:styleId="ListParagraph">
    <w:name w:val="List Paragraph"/>
    <w:basedOn w:val="Normal"/>
    <w:uiPriority w:val="34"/>
    <w:qFormat/>
    <w:rsid w:val="00E63568"/>
    <w:pPr>
      <w:ind w:left="720"/>
      <w:contextualSpacing/>
    </w:pPr>
  </w:style>
  <w:style w:type="character" w:customStyle="1" w:styleId="HeaderChar">
    <w:name w:val="Header Char"/>
    <w:link w:val="Header"/>
    <w:rsid w:val="009B4457"/>
    <w:rPr>
      <w:sz w:val="24"/>
    </w:rPr>
  </w:style>
  <w:style w:type="character" w:styleId="FollowedHyperlink">
    <w:name w:val="FollowedHyperlink"/>
    <w:basedOn w:val="DefaultParagraphFont"/>
    <w:rsid w:val="00F9308D"/>
    <w:rPr>
      <w:color w:val="800080" w:themeColor="followedHyperlink"/>
      <w:u w:val="single"/>
    </w:rPr>
  </w:style>
  <w:style w:type="character" w:customStyle="1" w:styleId="BodyText2Char">
    <w:name w:val="Body Text 2 Char"/>
    <w:basedOn w:val="DefaultParagraphFont"/>
    <w:link w:val="BodyText2"/>
    <w:rsid w:val="00F93FB8"/>
    <w:rPr>
      <w:b/>
      <w:bCs/>
      <w:sz w:val="28"/>
    </w:rPr>
  </w:style>
  <w:style w:type="character" w:customStyle="1" w:styleId="normaltextrun">
    <w:name w:val="normaltextrun"/>
    <w:basedOn w:val="DefaultParagraphFont"/>
    <w:rsid w:val="008D54DA"/>
  </w:style>
  <w:style w:type="paragraph" w:styleId="NormalWeb">
    <w:name w:val="Normal (Web)"/>
    <w:basedOn w:val="Normal"/>
    <w:uiPriority w:val="99"/>
    <w:semiHidden/>
    <w:unhideWhenUsed/>
    <w:rsid w:val="0021134D"/>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509743">
      <w:bodyDiv w:val="1"/>
      <w:marLeft w:val="0"/>
      <w:marRight w:val="0"/>
      <w:marTop w:val="0"/>
      <w:marBottom w:val="0"/>
      <w:divBdr>
        <w:top w:val="none" w:sz="0" w:space="0" w:color="auto"/>
        <w:left w:val="none" w:sz="0" w:space="0" w:color="auto"/>
        <w:bottom w:val="none" w:sz="0" w:space="0" w:color="auto"/>
        <w:right w:val="none" w:sz="0" w:space="0" w:color="auto"/>
      </w:divBdr>
      <w:divsChild>
        <w:div w:id="629017694">
          <w:marLeft w:val="0"/>
          <w:marRight w:val="0"/>
          <w:marTop w:val="0"/>
          <w:marBottom w:val="0"/>
          <w:divBdr>
            <w:top w:val="none" w:sz="0" w:space="0" w:color="auto"/>
            <w:left w:val="none" w:sz="0" w:space="0" w:color="auto"/>
            <w:bottom w:val="none" w:sz="0" w:space="0" w:color="auto"/>
            <w:right w:val="none" w:sz="0" w:space="0" w:color="auto"/>
          </w:divBdr>
          <w:divsChild>
            <w:div w:id="1582257492">
              <w:marLeft w:val="0"/>
              <w:marRight w:val="0"/>
              <w:marTop w:val="0"/>
              <w:marBottom w:val="0"/>
              <w:divBdr>
                <w:top w:val="none" w:sz="0" w:space="0" w:color="auto"/>
                <w:left w:val="none" w:sz="0" w:space="0" w:color="auto"/>
                <w:bottom w:val="none" w:sz="0" w:space="0" w:color="auto"/>
                <w:right w:val="none" w:sz="0" w:space="0" w:color="auto"/>
              </w:divBdr>
              <w:divsChild>
                <w:div w:id="6190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916">
          <w:marLeft w:val="0"/>
          <w:marRight w:val="0"/>
          <w:marTop w:val="0"/>
          <w:marBottom w:val="0"/>
          <w:divBdr>
            <w:top w:val="none" w:sz="0" w:space="0" w:color="auto"/>
            <w:left w:val="none" w:sz="0" w:space="0" w:color="auto"/>
            <w:bottom w:val="none" w:sz="0" w:space="0" w:color="auto"/>
            <w:right w:val="none" w:sz="0" w:space="0" w:color="auto"/>
          </w:divBdr>
          <w:divsChild>
            <w:div w:id="461464804">
              <w:marLeft w:val="0"/>
              <w:marRight w:val="0"/>
              <w:marTop w:val="0"/>
              <w:marBottom w:val="0"/>
              <w:divBdr>
                <w:top w:val="none" w:sz="0" w:space="0" w:color="auto"/>
                <w:left w:val="none" w:sz="0" w:space="0" w:color="auto"/>
                <w:bottom w:val="none" w:sz="0" w:space="0" w:color="auto"/>
                <w:right w:val="none" w:sz="0" w:space="0" w:color="auto"/>
              </w:divBdr>
              <w:divsChild>
                <w:div w:id="20737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5388">
          <w:marLeft w:val="0"/>
          <w:marRight w:val="0"/>
          <w:marTop w:val="0"/>
          <w:marBottom w:val="0"/>
          <w:divBdr>
            <w:top w:val="none" w:sz="0" w:space="0" w:color="auto"/>
            <w:left w:val="none" w:sz="0" w:space="0" w:color="auto"/>
            <w:bottom w:val="none" w:sz="0" w:space="0" w:color="auto"/>
            <w:right w:val="none" w:sz="0" w:space="0" w:color="auto"/>
          </w:divBdr>
          <w:divsChild>
            <w:div w:id="514074390">
              <w:marLeft w:val="0"/>
              <w:marRight w:val="0"/>
              <w:marTop w:val="0"/>
              <w:marBottom w:val="0"/>
              <w:divBdr>
                <w:top w:val="none" w:sz="0" w:space="0" w:color="auto"/>
                <w:left w:val="none" w:sz="0" w:space="0" w:color="auto"/>
                <w:bottom w:val="none" w:sz="0" w:space="0" w:color="auto"/>
                <w:right w:val="none" w:sz="0" w:space="0" w:color="auto"/>
              </w:divBdr>
              <w:divsChild>
                <w:div w:id="1508639484">
                  <w:marLeft w:val="0"/>
                  <w:marRight w:val="0"/>
                  <w:marTop w:val="0"/>
                  <w:marBottom w:val="0"/>
                  <w:divBdr>
                    <w:top w:val="none" w:sz="0" w:space="0" w:color="auto"/>
                    <w:left w:val="none" w:sz="0" w:space="0" w:color="auto"/>
                    <w:bottom w:val="none" w:sz="0" w:space="0" w:color="auto"/>
                    <w:right w:val="none" w:sz="0" w:space="0" w:color="auto"/>
                  </w:divBdr>
                </w:div>
                <w:div w:id="305553642">
                  <w:marLeft w:val="0"/>
                  <w:marRight w:val="0"/>
                  <w:marTop w:val="0"/>
                  <w:marBottom w:val="0"/>
                  <w:divBdr>
                    <w:top w:val="none" w:sz="0" w:space="0" w:color="auto"/>
                    <w:left w:val="none" w:sz="0" w:space="0" w:color="auto"/>
                    <w:bottom w:val="none" w:sz="0" w:space="0" w:color="auto"/>
                    <w:right w:val="none" w:sz="0" w:space="0" w:color="auto"/>
                  </w:divBdr>
                </w:div>
              </w:divsChild>
            </w:div>
            <w:div w:id="2116553507">
              <w:marLeft w:val="0"/>
              <w:marRight w:val="0"/>
              <w:marTop w:val="0"/>
              <w:marBottom w:val="0"/>
              <w:divBdr>
                <w:top w:val="none" w:sz="0" w:space="0" w:color="auto"/>
                <w:left w:val="none" w:sz="0" w:space="0" w:color="auto"/>
                <w:bottom w:val="none" w:sz="0" w:space="0" w:color="auto"/>
                <w:right w:val="none" w:sz="0" w:space="0" w:color="auto"/>
              </w:divBdr>
              <w:divsChild>
                <w:div w:id="3655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4603">
          <w:marLeft w:val="0"/>
          <w:marRight w:val="0"/>
          <w:marTop w:val="0"/>
          <w:marBottom w:val="0"/>
          <w:divBdr>
            <w:top w:val="none" w:sz="0" w:space="0" w:color="auto"/>
            <w:left w:val="none" w:sz="0" w:space="0" w:color="auto"/>
            <w:bottom w:val="none" w:sz="0" w:space="0" w:color="auto"/>
            <w:right w:val="none" w:sz="0" w:space="0" w:color="auto"/>
          </w:divBdr>
          <w:divsChild>
            <w:div w:id="1594823601">
              <w:marLeft w:val="0"/>
              <w:marRight w:val="0"/>
              <w:marTop w:val="0"/>
              <w:marBottom w:val="0"/>
              <w:divBdr>
                <w:top w:val="none" w:sz="0" w:space="0" w:color="auto"/>
                <w:left w:val="none" w:sz="0" w:space="0" w:color="auto"/>
                <w:bottom w:val="none" w:sz="0" w:space="0" w:color="auto"/>
                <w:right w:val="none" w:sz="0" w:space="0" w:color="auto"/>
              </w:divBdr>
              <w:divsChild>
                <w:div w:id="1223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4502">
          <w:marLeft w:val="0"/>
          <w:marRight w:val="0"/>
          <w:marTop w:val="0"/>
          <w:marBottom w:val="0"/>
          <w:divBdr>
            <w:top w:val="none" w:sz="0" w:space="0" w:color="auto"/>
            <w:left w:val="none" w:sz="0" w:space="0" w:color="auto"/>
            <w:bottom w:val="none" w:sz="0" w:space="0" w:color="auto"/>
            <w:right w:val="none" w:sz="0" w:space="0" w:color="auto"/>
          </w:divBdr>
          <w:divsChild>
            <w:div w:id="1590385400">
              <w:marLeft w:val="0"/>
              <w:marRight w:val="0"/>
              <w:marTop w:val="0"/>
              <w:marBottom w:val="0"/>
              <w:divBdr>
                <w:top w:val="none" w:sz="0" w:space="0" w:color="auto"/>
                <w:left w:val="none" w:sz="0" w:space="0" w:color="auto"/>
                <w:bottom w:val="none" w:sz="0" w:space="0" w:color="auto"/>
                <w:right w:val="none" w:sz="0" w:space="0" w:color="auto"/>
              </w:divBdr>
              <w:divsChild>
                <w:div w:id="11661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88046">
          <w:marLeft w:val="0"/>
          <w:marRight w:val="0"/>
          <w:marTop w:val="0"/>
          <w:marBottom w:val="0"/>
          <w:divBdr>
            <w:top w:val="none" w:sz="0" w:space="0" w:color="auto"/>
            <w:left w:val="none" w:sz="0" w:space="0" w:color="auto"/>
            <w:bottom w:val="none" w:sz="0" w:space="0" w:color="auto"/>
            <w:right w:val="none" w:sz="0" w:space="0" w:color="auto"/>
          </w:divBdr>
          <w:divsChild>
            <w:div w:id="1833719450">
              <w:marLeft w:val="0"/>
              <w:marRight w:val="0"/>
              <w:marTop w:val="0"/>
              <w:marBottom w:val="0"/>
              <w:divBdr>
                <w:top w:val="none" w:sz="0" w:space="0" w:color="auto"/>
                <w:left w:val="none" w:sz="0" w:space="0" w:color="auto"/>
                <w:bottom w:val="none" w:sz="0" w:space="0" w:color="auto"/>
                <w:right w:val="none" w:sz="0" w:space="0" w:color="auto"/>
              </w:divBdr>
              <w:divsChild>
                <w:div w:id="1942296100">
                  <w:marLeft w:val="0"/>
                  <w:marRight w:val="0"/>
                  <w:marTop w:val="0"/>
                  <w:marBottom w:val="0"/>
                  <w:divBdr>
                    <w:top w:val="none" w:sz="0" w:space="0" w:color="auto"/>
                    <w:left w:val="none" w:sz="0" w:space="0" w:color="auto"/>
                    <w:bottom w:val="none" w:sz="0" w:space="0" w:color="auto"/>
                    <w:right w:val="none" w:sz="0" w:space="0" w:color="auto"/>
                  </w:divBdr>
                </w:div>
              </w:divsChild>
            </w:div>
            <w:div w:id="753552161">
              <w:marLeft w:val="0"/>
              <w:marRight w:val="0"/>
              <w:marTop w:val="0"/>
              <w:marBottom w:val="0"/>
              <w:divBdr>
                <w:top w:val="none" w:sz="0" w:space="0" w:color="auto"/>
                <w:left w:val="none" w:sz="0" w:space="0" w:color="auto"/>
                <w:bottom w:val="none" w:sz="0" w:space="0" w:color="auto"/>
                <w:right w:val="none" w:sz="0" w:space="0" w:color="auto"/>
              </w:divBdr>
              <w:divsChild>
                <w:div w:id="18896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ACADEMIC SEANTE</vt:lpstr>
    </vt:vector>
  </TitlesOfParts>
  <Company>Cal State Los Angeles</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SEANTE</dc:title>
  <dc:creator>Anagnoson</dc:creator>
  <cp:lastModifiedBy>Cindy Wyels</cp:lastModifiedBy>
  <cp:revision>2</cp:revision>
  <cp:lastPrinted>2012-09-12T17:19:00Z</cp:lastPrinted>
  <dcterms:created xsi:type="dcterms:W3CDTF">2016-11-11T00:24:00Z</dcterms:created>
  <dcterms:modified xsi:type="dcterms:W3CDTF">2016-11-11T00:24:00Z</dcterms:modified>
</cp:coreProperties>
</file>