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2C" w:rsidRDefault="009039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392C" w:rsidRDefault="009039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392C" w:rsidRDefault="0090392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0392C" w:rsidRDefault="00FD007F">
      <w:pPr>
        <w:pStyle w:val="Heading1"/>
        <w:spacing w:before="69"/>
        <w:ind w:right="6592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/>
          <w:u w:val="none"/>
        </w:rPr>
        <w:t>Policy #: SP</w:t>
      </w:r>
      <w:r>
        <w:rPr>
          <w:rFonts w:ascii="Times New Roman"/>
          <w:spacing w:val="-6"/>
          <w:u w:val="none"/>
        </w:rPr>
        <w:t xml:space="preserve"> </w:t>
      </w:r>
      <w:r>
        <w:rPr>
          <w:rFonts w:ascii="Times New Roman"/>
          <w:u w:val="none"/>
        </w:rPr>
        <w:t>06-13</w:t>
      </w:r>
    </w:p>
    <w:p w:rsidR="0090392C" w:rsidRDefault="0090392C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90392C" w:rsidRDefault="00FD007F">
      <w:pPr>
        <w:spacing w:line="489" w:lineRule="auto"/>
        <w:ind w:left="120" w:right="6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Approval Date: February 20,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2007 </w:t>
      </w:r>
      <w:r>
        <w:rPr>
          <w:rFonts w:ascii="Times New Roman"/>
          <w:b/>
          <w:sz w:val="24"/>
        </w:rPr>
        <w:t>Preamble: Amends SP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03-35 Policy:</w:t>
      </w:r>
    </w:p>
    <w:p w:rsidR="0090392C" w:rsidRDefault="0090392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0392C" w:rsidRDefault="00FD007F">
      <w:pPr>
        <w:pStyle w:val="Heading1"/>
        <w:ind w:left="2712" w:right="1749" w:firstLine="112"/>
        <w:rPr>
          <w:b w:val="0"/>
          <w:bCs w:val="0"/>
          <w:u w:val="none"/>
        </w:rPr>
      </w:pPr>
      <w:r>
        <w:rPr>
          <w:u w:val="none"/>
        </w:rPr>
        <w:t>Policy for Review of Academic</w:t>
      </w:r>
      <w:r>
        <w:rPr>
          <w:spacing w:val="-9"/>
          <w:u w:val="none"/>
        </w:rPr>
        <w:t xml:space="preserve"> </w:t>
      </w:r>
      <w:r>
        <w:rPr>
          <w:u w:val="none"/>
        </w:rPr>
        <w:t>Programs California State University Channel</w:t>
      </w:r>
      <w:r>
        <w:rPr>
          <w:spacing w:val="-12"/>
          <w:u w:val="none"/>
        </w:rPr>
        <w:t xml:space="preserve"> </w:t>
      </w:r>
      <w:r>
        <w:rPr>
          <w:u w:val="none"/>
        </w:rPr>
        <w:t>Islands</w:t>
      </w:r>
    </w:p>
    <w:p w:rsidR="0090392C" w:rsidRDefault="0090392C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392C" w:rsidRDefault="0090392C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90392C" w:rsidRDefault="00FD007F">
      <w:pPr>
        <w:ind w:left="120" w:right="65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Introduction</w:t>
      </w:r>
    </w:p>
    <w:p w:rsidR="0090392C" w:rsidRDefault="0090392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0392C" w:rsidRDefault="00FD007F">
      <w:pPr>
        <w:pStyle w:val="BodyText"/>
        <w:spacing w:before="69"/>
        <w:ind w:right="134"/>
      </w:pPr>
      <w:r>
        <w:t>Periodic program reviews provide a mechanism for faculty to evaluate the</w:t>
      </w:r>
      <w:r>
        <w:rPr>
          <w:spacing w:val="-16"/>
        </w:rPr>
        <w:t xml:space="preserve"> </w:t>
      </w:r>
      <w:r>
        <w:t>effectiveness, progress, and status of their academic programs on a continuous basis. It is an opportunity</w:t>
      </w:r>
      <w:r>
        <w:rPr>
          <w:spacing w:val="-34"/>
        </w:rPr>
        <w:t xml:space="preserve"> </w:t>
      </w:r>
      <w:r>
        <w:t>for the program to evaluate its strengths and weaknesses within the context of ongoing</w:t>
      </w:r>
      <w:r>
        <w:rPr>
          <w:spacing w:val="-19"/>
        </w:rPr>
        <w:t xml:space="preserve"> </w:t>
      </w:r>
      <w:r>
        <w:t>and emerging directions in the discipline at the regional and national levels and in the context of</w:t>
      </w:r>
      <w:r>
        <w:rPr>
          <w:spacing w:val="-33"/>
        </w:rPr>
        <w:t xml:space="preserve"> </w:t>
      </w:r>
      <w:r>
        <w:t>the mission of California State University Channel Islands. Academic program review is</w:t>
      </w:r>
      <w:r>
        <w:rPr>
          <w:spacing w:val="-29"/>
        </w:rPr>
        <w:t xml:space="preserve"> </w:t>
      </w:r>
      <w:r>
        <w:t>mandated by Chancellor's office memorandum AP 71-32 which asks each campus to "Establish a</w:t>
      </w:r>
      <w:r>
        <w:rPr>
          <w:spacing w:val="-29"/>
        </w:rPr>
        <w:t xml:space="preserve"> </w:t>
      </w:r>
      <w:r>
        <w:t>formal performance review procedure for all existing degree programs on your campus in order</w:t>
      </w:r>
      <w:r>
        <w:rPr>
          <w:spacing w:val="-22"/>
        </w:rPr>
        <w:t xml:space="preserve"> </w:t>
      </w:r>
      <w:r>
        <w:t>to assess periodically both the quantitative and qualitative viability of each undergraduate</w:t>
      </w:r>
      <w:r>
        <w:rPr>
          <w:spacing w:val="-22"/>
        </w:rPr>
        <w:t xml:space="preserve"> </w:t>
      </w:r>
      <w:r>
        <w:t>and graduate program in the total context of your</w:t>
      </w:r>
      <w:r>
        <w:rPr>
          <w:spacing w:val="-25"/>
        </w:rPr>
        <w:t xml:space="preserve"> </w:t>
      </w:r>
      <w:r>
        <w:t>offerings."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BodyText"/>
        <w:ind w:right="1749"/>
      </w:pPr>
      <w:r>
        <w:t>Program review encourages the improvement of programs by thoroughly</w:t>
      </w:r>
      <w:r>
        <w:rPr>
          <w:spacing w:val="-27"/>
        </w:rPr>
        <w:t xml:space="preserve"> </w:t>
      </w:r>
      <w:r>
        <w:t>and candidly</w:t>
      </w:r>
      <w:r>
        <w:rPr>
          <w:spacing w:val="-6"/>
        </w:rPr>
        <w:t xml:space="preserve"> </w:t>
      </w:r>
      <w:r>
        <w:t>evaluating:</w:t>
      </w:r>
    </w:p>
    <w:p w:rsidR="0090392C" w:rsidRDefault="0090392C">
      <w:pPr>
        <w:spacing w:before="1"/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3" w:lineRule="exact"/>
        <w:ind w:right="134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mission and goals of the program and their relation to the mission of the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institution</w:t>
      </w: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2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curriculum through which program mission and goals are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pursued</w:t>
      </w: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ind w:right="475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assessment of student learning outcomes, the program revisions based upon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those outcomes, and the plans for future assessment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activities</w:t>
      </w: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ind w:right="438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range and quality of scholarship and creative activities, emphasizing those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involving students</w:t>
      </w: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before="22" w:line="274" w:lineRule="exact"/>
        <w:ind w:right="194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quality and diversity of faculty and staff and their contributions to program mission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and goals</w:t>
      </w: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1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quality of entering and graduating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students</w:t>
      </w:r>
    </w:p>
    <w:p w:rsidR="0090392C" w:rsidRDefault="0090392C">
      <w:pPr>
        <w:spacing w:line="291" w:lineRule="exact"/>
        <w:rPr>
          <w:rFonts w:ascii="Arial" w:eastAsia="Arial" w:hAnsi="Arial" w:cs="Arial"/>
          <w:sz w:val="24"/>
          <w:szCs w:val="24"/>
        </w:rPr>
        <w:sectPr w:rsidR="0090392C">
          <w:headerReference w:type="default" r:id="rId7"/>
          <w:footerReference w:type="default" r:id="rId8"/>
          <w:type w:val="continuous"/>
          <w:pgSz w:w="12240" w:h="15840"/>
          <w:pgMar w:top="3220" w:right="960" w:bottom="840" w:left="960" w:header="720" w:footer="643" w:gutter="0"/>
          <w:cols w:space="720"/>
        </w:sectPr>
      </w:pP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48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the library and other educational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resources</w:t>
      </w: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2" w:lineRule="exact"/>
        <w:ind w:right="6592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physical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facilities</w:t>
      </w:r>
    </w:p>
    <w:p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3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service and contributions to 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community</w:t>
      </w:r>
    </w:p>
    <w:p w:rsidR="0090392C" w:rsidRDefault="0090392C">
      <w:pPr>
        <w:spacing w:before="10"/>
        <w:rPr>
          <w:rFonts w:ascii="Arial" w:eastAsia="Arial" w:hAnsi="Arial" w:cs="Arial"/>
          <w:sz w:val="23"/>
          <w:szCs w:val="23"/>
        </w:rPr>
      </w:pPr>
    </w:p>
    <w:p w:rsidR="0090392C" w:rsidRDefault="00FD007F">
      <w:pPr>
        <w:pStyle w:val="BodyText"/>
        <w:ind w:right="134"/>
      </w:pPr>
      <w:r>
        <w:t>These reviews provide information allowing faculty to highlight program strengths</w:t>
      </w:r>
      <w:r>
        <w:rPr>
          <w:spacing w:val="-12"/>
        </w:rPr>
        <w:t xml:space="preserve"> </w:t>
      </w:r>
      <w:r>
        <w:t>and achievements, to identify needed improvements, and to address these needs through</w:t>
      </w:r>
      <w:r>
        <w:rPr>
          <w:spacing w:val="-19"/>
        </w:rPr>
        <w:t xml:space="preserve"> </w:t>
      </w:r>
      <w:r>
        <w:t>long- range plans that will endure through short-term administrative changes or budget</w:t>
      </w:r>
      <w:r>
        <w:rPr>
          <w:spacing w:val="-21"/>
        </w:rPr>
        <w:t xml:space="preserve"> </w:t>
      </w:r>
      <w:r>
        <w:t>constraints. Program reviews are integral to planning, resource allocation, and other decision making</w:t>
      </w:r>
      <w:r>
        <w:rPr>
          <w:spacing w:val="-27"/>
        </w:rPr>
        <w:t xml:space="preserve"> </w:t>
      </w:r>
      <w:r>
        <w:t>within the university. Regular program reviews also allow the university to account publicly for its</w:t>
      </w:r>
      <w:r>
        <w:rPr>
          <w:spacing w:val="-27"/>
        </w:rPr>
        <w:t xml:space="preserve"> </w:t>
      </w:r>
      <w:r>
        <w:t>use of public resources and to develop support among its various</w:t>
      </w:r>
      <w:r>
        <w:rPr>
          <w:spacing w:val="-30"/>
        </w:rPr>
        <w:t xml:space="preserve"> </w:t>
      </w:r>
      <w:r>
        <w:t>constituencies.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BodyText"/>
        <w:ind w:right="229"/>
      </w:pPr>
      <w:r>
        <w:t>Program reviews include evaluation of all undergraduate and graduate programs offered</w:t>
      </w:r>
      <w:r>
        <w:rPr>
          <w:spacing w:val="-28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program.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Heading1"/>
        <w:ind w:right="1749"/>
        <w:rPr>
          <w:b w:val="0"/>
          <w:bCs w:val="0"/>
          <w:u w:val="none"/>
        </w:rPr>
      </w:pPr>
      <w:r>
        <w:rPr>
          <w:u w:val="thick" w:color="000000"/>
        </w:rPr>
        <w:t>Academic Program Review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Components</w:t>
      </w:r>
    </w:p>
    <w:p w:rsidR="0090392C" w:rsidRDefault="0090392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0392C" w:rsidRDefault="00FD007F">
      <w:pPr>
        <w:pStyle w:val="BodyText"/>
        <w:spacing w:before="69"/>
        <w:ind w:right="1749"/>
      </w:pPr>
      <w:r>
        <w:t>Academic program review will include the following three</w:t>
      </w:r>
      <w:r>
        <w:rPr>
          <w:spacing w:val="-22"/>
        </w:rPr>
        <w:t xml:space="preserve"> </w:t>
      </w:r>
      <w:r>
        <w:t>components: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ListParagraph"/>
        <w:numPr>
          <w:ilvl w:val="0"/>
          <w:numId w:val="3"/>
        </w:numPr>
        <w:tabs>
          <w:tab w:val="left" w:pos="389"/>
        </w:tabs>
        <w:ind w:right="1749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Academic Program Self-Study and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Recommendation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ListParagraph"/>
        <w:numPr>
          <w:ilvl w:val="0"/>
          <w:numId w:val="3"/>
        </w:numPr>
        <w:tabs>
          <w:tab w:val="left" w:pos="389"/>
        </w:tabs>
        <w:ind w:right="1749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External Review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Recommendation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ListParagraph"/>
        <w:numPr>
          <w:ilvl w:val="0"/>
          <w:numId w:val="3"/>
        </w:numPr>
        <w:tabs>
          <w:tab w:val="left" w:pos="389"/>
        </w:tabs>
        <w:ind w:right="1749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University Review 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Decision-Making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Heading1"/>
        <w:numPr>
          <w:ilvl w:val="0"/>
          <w:numId w:val="2"/>
        </w:numPr>
        <w:tabs>
          <w:tab w:val="left" w:pos="391"/>
        </w:tabs>
        <w:ind w:right="1749" w:hanging="270"/>
        <w:rPr>
          <w:b w:val="0"/>
          <w:bCs w:val="0"/>
          <w:u w:val="none"/>
        </w:rPr>
      </w:pPr>
      <w:r>
        <w:rPr>
          <w:u w:val="none"/>
        </w:rPr>
        <w:t>Academic Program Self-Study and</w:t>
      </w:r>
      <w:r>
        <w:rPr>
          <w:spacing w:val="-10"/>
          <w:u w:val="none"/>
        </w:rPr>
        <w:t xml:space="preserve"> </w:t>
      </w:r>
      <w:r>
        <w:rPr>
          <w:u w:val="none"/>
        </w:rPr>
        <w:t>Recommendation</w:t>
      </w:r>
    </w:p>
    <w:p w:rsidR="0090392C" w:rsidRDefault="0090392C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392C" w:rsidRDefault="00FD007F">
      <w:pPr>
        <w:pStyle w:val="BodyText"/>
        <w:ind w:right="229"/>
      </w:pPr>
      <w:r>
        <w:t>At the start of the process for a given academic program, representatives from the</w:t>
      </w:r>
      <w:r>
        <w:rPr>
          <w:spacing w:val="-25"/>
        </w:rPr>
        <w:t xml:space="preserve"> </w:t>
      </w:r>
      <w:r>
        <w:t>academic program, the Division of Academic Affairs, and the Program Assessment and</w:t>
      </w:r>
      <w:r>
        <w:rPr>
          <w:spacing w:val="-5"/>
        </w:rPr>
        <w:t xml:space="preserve"> </w:t>
      </w:r>
      <w:r>
        <w:t>Review Committee (PARC) will meet to discuss substantive and procedural questions.</w:t>
      </w:r>
      <w:r>
        <w:rPr>
          <w:spacing w:val="-16"/>
        </w:rPr>
        <w:t xml:space="preserve"> </w:t>
      </w:r>
      <w:r>
        <w:t>Those attending should indicate any specific areas or issues needing to be addressed, so that</w:t>
      </w:r>
      <w:r>
        <w:rPr>
          <w:spacing w:val="-33"/>
        </w:rPr>
        <w:t xml:space="preserve"> </w:t>
      </w:r>
      <w:r>
        <w:t>these may be given special attention in the review</w:t>
      </w:r>
      <w:r>
        <w:rPr>
          <w:spacing w:val="-16"/>
        </w:rPr>
        <w:t xml:space="preserve"> </w:t>
      </w:r>
      <w:r>
        <w:t>process.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BodyText"/>
        <w:ind w:right="134"/>
      </w:pPr>
      <w:r>
        <w:t>Every academic program which offers baccalaureate, Master's, or joint doctoral degrees</w:t>
      </w:r>
      <w:r>
        <w:rPr>
          <w:spacing w:val="-31"/>
        </w:rPr>
        <w:t xml:space="preserve"> </w:t>
      </w:r>
      <w:r>
        <w:t>(other than those subject to periodic accreditation review) shall prepare a self-study that will serve</w:t>
      </w:r>
      <w:r>
        <w:rPr>
          <w:spacing w:val="-23"/>
        </w:rPr>
        <w:t xml:space="preserve"> </w:t>
      </w:r>
      <w:r>
        <w:t>as a basis for all subsequent reviews and recommendations. In this self-study, the</w:t>
      </w:r>
      <w:r>
        <w:rPr>
          <w:spacing w:val="-16"/>
        </w:rPr>
        <w:t xml:space="preserve"> </w:t>
      </w:r>
      <w:r>
        <w:t>academic program should describe and assess each degree program it offers. Program chairs</w:t>
      </w:r>
      <w:r>
        <w:rPr>
          <w:spacing w:val="-24"/>
        </w:rPr>
        <w:t xml:space="preserve"> </w:t>
      </w:r>
      <w:r>
        <w:t>should assure that there is widespread faculty participation in the self-studies and that the faculty</w:t>
      </w:r>
      <w:r>
        <w:rPr>
          <w:spacing w:val="-30"/>
        </w:rPr>
        <w:t xml:space="preserve"> </w:t>
      </w:r>
      <w:r>
        <w:t>are made aware of all findings and</w:t>
      </w:r>
      <w:r>
        <w:rPr>
          <w:spacing w:val="-16"/>
        </w:rPr>
        <w:t xml:space="preserve"> </w:t>
      </w:r>
      <w:r>
        <w:t>recommendations.</w:t>
      </w:r>
    </w:p>
    <w:p w:rsidR="0090392C" w:rsidRDefault="0090392C">
      <w:pPr>
        <w:sectPr w:rsidR="0090392C">
          <w:pgSz w:w="12240" w:h="15840"/>
          <w:pgMar w:top="3220" w:right="960" w:bottom="840" w:left="960" w:header="720" w:footer="643" w:gutter="0"/>
          <w:cols w:space="720"/>
        </w:sectPr>
      </w:pPr>
    </w:p>
    <w:p w:rsidR="0090392C" w:rsidRDefault="0090392C">
      <w:pPr>
        <w:spacing w:before="1"/>
        <w:rPr>
          <w:rFonts w:ascii="Arial" w:eastAsia="Arial" w:hAnsi="Arial" w:cs="Arial"/>
          <w:sz w:val="14"/>
          <w:szCs w:val="14"/>
        </w:rPr>
      </w:pPr>
    </w:p>
    <w:p w:rsidR="0090392C" w:rsidRDefault="00FD007F">
      <w:pPr>
        <w:pStyle w:val="BodyText"/>
        <w:spacing w:before="69"/>
        <w:ind w:right="229"/>
      </w:pPr>
      <w:r>
        <w:t>The academic program shall forward its completed self-study to the Division of</w:t>
      </w:r>
      <w:r>
        <w:rPr>
          <w:spacing w:val="-17"/>
        </w:rPr>
        <w:t xml:space="preserve"> </w:t>
      </w:r>
      <w:r>
        <w:t>Academic Affairs and to the Dean for their respective review and signatures indicating that the self-</w:t>
      </w:r>
      <w:r>
        <w:rPr>
          <w:spacing w:val="-34"/>
        </w:rPr>
        <w:t xml:space="preserve"> </w:t>
      </w:r>
      <w:r>
        <w:t>study is complete and ready for external</w:t>
      </w:r>
      <w:r>
        <w:rPr>
          <w:spacing w:val="-13"/>
        </w:rPr>
        <w:t xml:space="preserve"> </w:t>
      </w:r>
      <w:r>
        <w:t>review.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Heading1"/>
        <w:numPr>
          <w:ilvl w:val="0"/>
          <w:numId w:val="2"/>
        </w:numPr>
        <w:tabs>
          <w:tab w:val="left" w:pos="389"/>
        </w:tabs>
        <w:ind w:left="388" w:right="1749" w:hanging="268"/>
        <w:rPr>
          <w:b w:val="0"/>
          <w:bCs w:val="0"/>
          <w:u w:val="none"/>
        </w:rPr>
      </w:pPr>
      <w:r>
        <w:rPr>
          <w:u w:val="none"/>
        </w:rPr>
        <w:t>External Review and</w:t>
      </w:r>
      <w:r>
        <w:rPr>
          <w:spacing w:val="4"/>
          <w:u w:val="none"/>
        </w:rPr>
        <w:t xml:space="preserve"> </w:t>
      </w:r>
      <w:r>
        <w:rPr>
          <w:u w:val="none"/>
        </w:rPr>
        <w:t>Recommendation</w:t>
      </w:r>
    </w:p>
    <w:p w:rsidR="0090392C" w:rsidRDefault="0090392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0392C" w:rsidRDefault="00FD007F">
      <w:pPr>
        <w:pStyle w:val="BodyText"/>
        <w:ind w:right="335"/>
      </w:pPr>
      <w:r>
        <w:t>The purpose of external review is to help each academic program improve the quality of</w:t>
      </w:r>
      <w:r>
        <w:rPr>
          <w:spacing w:val="-27"/>
        </w:rPr>
        <w:t xml:space="preserve"> </w:t>
      </w:r>
      <w:r>
        <w:t>its degree programs and to add an additional perspective to the recommendations made in</w:t>
      </w:r>
      <w:r>
        <w:rPr>
          <w:spacing w:val="-30"/>
        </w:rPr>
        <w:t xml:space="preserve"> </w:t>
      </w:r>
      <w:r>
        <w:t>the self-study. It is anticipated that the external review will provide evaluative assistance</w:t>
      </w:r>
      <w:r>
        <w:rPr>
          <w:spacing w:val="-20"/>
        </w:rPr>
        <w:t xml:space="preserve"> </w:t>
      </w:r>
      <w:r>
        <w:t>and support for program</w:t>
      </w:r>
      <w:r>
        <w:rPr>
          <w:spacing w:val="-7"/>
        </w:rPr>
        <w:t xml:space="preserve"> </w:t>
      </w:r>
      <w:r>
        <w:t>goals.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BodyText"/>
        <w:ind w:right="134"/>
      </w:pPr>
      <w:r>
        <w:t>Typically, the review will be conducted by a team of two members, representing both a</w:t>
      </w:r>
      <w:r>
        <w:rPr>
          <w:spacing w:val="-25"/>
        </w:rPr>
        <w:t xml:space="preserve"> </w:t>
      </w:r>
      <w:r>
        <w:t>CSU and a non-CSU</w:t>
      </w:r>
      <w:r>
        <w:rPr>
          <w:spacing w:val="-9"/>
        </w:rPr>
        <w:t xml:space="preserve"> </w:t>
      </w:r>
      <w:r>
        <w:t>perspective.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BodyText"/>
        <w:ind w:right="134"/>
      </w:pPr>
      <w:r>
        <w:t>The program faculty and the Dean, working together, shall choose the potential reviewers.</w:t>
      </w:r>
      <w:r>
        <w:rPr>
          <w:spacing w:val="-31"/>
        </w:rPr>
        <w:t xml:space="preserve"> </w:t>
      </w:r>
      <w:r>
        <w:t xml:space="preserve">The Dean shall forward their names and addresses to the </w:t>
      </w:r>
      <w:bookmarkStart w:id="0" w:name="_GoBack"/>
      <w:r>
        <w:t>Provost</w:t>
      </w:r>
      <w:bookmarkEnd w:id="0"/>
      <w:r>
        <w:t xml:space="preserve"> for his/her concurrence. Reviewers will receive a copy of the program's self-study</w:t>
      </w:r>
      <w:r>
        <w:rPr>
          <w:spacing w:val="-20"/>
        </w:rPr>
        <w:t xml:space="preserve"> </w:t>
      </w:r>
      <w:r>
        <w:t>and supporting documents and are expected to spend two days on the campus</w:t>
      </w:r>
      <w:r>
        <w:rPr>
          <w:spacing w:val="-23"/>
        </w:rPr>
        <w:t xml:space="preserve"> </w:t>
      </w:r>
      <w:r>
        <w:t>interviewing students, faculty, and administrators and to prepare a report of findings and</w:t>
      </w:r>
      <w:r>
        <w:rPr>
          <w:spacing w:val="-37"/>
        </w:rPr>
        <w:t xml:space="preserve"> </w:t>
      </w:r>
      <w:r>
        <w:t xml:space="preserve">recommendations. Copies of this report shall be sent to the program chair and to the Dean, both </w:t>
      </w:r>
      <w:r>
        <w:rPr>
          <w:spacing w:val="3"/>
        </w:rPr>
        <w:t xml:space="preserve">of </w:t>
      </w:r>
      <w:r>
        <w:t>whom will</w:t>
      </w:r>
      <w:r>
        <w:rPr>
          <w:spacing w:val="-34"/>
        </w:rPr>
        <w:t xml:space="preserve"> </w:t>
      </w:r>
      <w:r>
        <w:t>be invited to respond in writing, commenting on recommendations made and</w:t>
      </w:r>
      <w:r>
        <w:rPr>
          <w:spacing w:val="-13"/>
        </w:rPr>
        <w:t xml:space="preserve"> </w:t>
      </w:r>
      <w:r>
        <w:t xml:space="preserve">adding </w:t>
      </w:r>
      <w:r>
        <w:rPr>
          <w:rFonts w:cs="Arial"/>
        </w:rPr>
        <w:t>recommendations as needed. The report and responses will become part of the</w:t>
      </w:r>
      <w:r>
        <w:rPr>
          <w:rFonts w:cs="Arial"/>
          <w:spacing w:val="-26"/>
        </w:rPr>
        <w:t xml:space="preserve"> </w:t>
      </w:r>
      <w:r>
        <w:rPr>
          <w:rFonts w:cs="Arial"/>
        </w:rPr>
        <w:t xml:space="preserve">program’s </w:t>
      </w:r>
      <w:r>
        <w:t>review file evaluated by the Program Assessment and Review Committee and the Division</w:t>
      </w:r>
      <w:r>
        <w:rPr>
          <w:spacing w:val="-17"/>
        </w:rPr>
        <w:t xml:space="preserve"> </w:t>
      </w:r>
      <w:r>
        <w:t>of Academic Affairs. Upon receipt of the report, the University will pay the reviewers</w:t>
      </w:r>
      <w:r>
        <w:rPr>
          <w:spacing w:val="-18"/>
        </w:rPr>
        <w:t xml:space="preserve"> </w:t>
      </w:r>
      <w:r>
        <w:t>an honorarium (in addition to travel costs and other</w:t>
      </w:r>
      <w:r>
        <w:rPr>
          <w:spacing w:val="-20"/>
        </w:rPr>
        <w:t xml:space="preserve"> </w:t>
      </w:r>
      <w:r>
        <w:t>expenses).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Heading1"/>
        <w:numPr>
          <w:ilvl w:val="0"/>
          <w:numId w:val="2"/>
        </w:numPr>
        <w:tabs>
          <w:tab w:val="left" w:pos="389"/>
        </w:tabs>
        <w:ind w:left="388" w:right="1749" w:hanging="268"/>
        <w:rPr>
          <w:b w:val="0"/>
          <w:bCs w:val="0"/>
          <w:u w:val="none"/>
        </w:rPr>
      </w:pPr>
      <w:r>
        <w:rPr>
          <w:u w:val="none"/>
        </w:rPr>
        <w:t>University Review and</w:t>
      </w:r>
      <w:r>
        <w:rPr>
          <w:spacing w:val="-2"/>
          <w:u w:val="none"/>
        </w:rPr>
        <w:t xml:space="preserve"> </w:t>
      </w:r>
      <w:r>
        <w:rPr>
          <w:u w:val="none"/>
        </w:rPr>
        <w:t>Decision-Making</w:t>
      </w:r>
    </w:p>
    <w:p w:rsidR="0090392C" w:rsidRDefault="0090392C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392C" w:rsidRDefault="00FD007F">
      <w:pPr>
        <w:pStyle w:val="BodyText"/>
        <w:ind w:right="134"/>
      </w:pPr>
      <w:r>
        <w:t>In order to provide a University-wide faculty perspective and assist in University wide</w:t>
      </w:r>
      <w:r>
        <w:rPr>
          <w:spacing w:val="-23"/>
        </w:rPr>
        <w:t xml:space="preserve"> </w:t>
      </w:r>
      <w:r>
        <w:t>planning, the Program and Assessment Review Committee will carefully review each program's</w:t>
      </w:r>
      <w:r>
        <w:rPr>
          <w:spacing w:val="-13"/>
        </w:rPr>
        <w:t xml:space="preserve"> </w:t>
      </w:r>
      <w:r>
        <w:t>self- study, external review report, and responses to the external review. PARC may choose</w:t>
      </w:r>
      <w:r>
        <w:rPr>
          <w:spacing w:val="-15"/>
        </w:rPr>
        <w:t xml:space="preserve"> </w:t>
      </w:r>
      <w:r>
        <w:t>to designate a subcommittee from among its members for this purpose. PARC will meet with</w:t>
      </w:r>
      <w:r>
        <w:rPr>
          <w:spacing w:val="-24"/>
        </w:rPr>
        <w:t xml:space="preserve"> </w:t>
      </w:r>
      <w:r>
        <w:t>the Dean and program faculty to ensure that PARC fully understands all recommendations</w:t>
      </w:r>
      <w:r>
        <w:rPr>
          <w:spacing w:val="-25"/>
        </w:rPr>
        <w:t xml:space="preserve"> </w:t>
      </w:r>
      <w:r>
        <w:t>made. PARC will accept additional data and recommendations from the programs at this time. It</w:t>
      </w:r>
      <w:r>
        <w:rPr>
          <w:spacing w:val="-21"/>
        </w:rPr>
        <w:t xml:space="preserve"> </w:t>
      </w:r>
      <w:r>
        <w:t>will then proceed to evaluate all recommendations and send its report to the Chair of the</w:t>
      </w:r>
      <w:r>
        <w:rPr>
          <w:spacing w:val="-32"/>
        </w:rPr>
        <w:t xml:space="preserve"> </w:t>
      </w:r>
      <w:r>
        <w:t>Academic Senate and the Provost for transmission to all</w:t>
      </w:r>
      <w:r>
        <w:rPr>
          <w:spacing w:val="11"/>
        </w:rPr>
        <w:t xml:space="preserve"> </w:t>
      </w:r>
      <w:r>
        <w:t>in rested parties. PARC should review all recommendations in a timely fashion land submit</w:t>
      </w:r>
      <w:r>
        <w:rPr>
          <w:spacing w:val="-20"/>
        </w:rPr>
        <w:t xml:space="preserve"> </w:t>
      </w:r>
      <w:r>
        <w:t>its findings to appropriate programs as expeditiously as possible! PARC will also send any</w:t>
      </w:r>
      <w:r>
        <w:rPr>
          <w:spacing w:val="-25"/>
        </w:rPr>
        <w:t xml:space="preserve"> </w:t>
      </w:r>
      <w:r>
        <w:t>policy recommendations and its annual report to the Academic</w:t>
      </w:r>
      <w:r>
        <w:rPr>
          <w:spacing w:val="-24"/>
        </w:rPr>
        <w:t xml:space="preserve"> </w:t>
      </w:r>
      <w:r>
        <w:t>Senate.</w:t>
      </w:r>
    </w:p>
    <w:p w:rsidR="0090392C" w:rsidRDefault="0090392C">
      <w:pPr>
        <w:sectPr w:rsidR="0090392C">
          <w:pgSz w:w="12240" w:h="15840"/>
          <w:pgMar w:top="3220" w:right="960" w:bottom="840" w:left="960" w:header="720" w:footer="643" w:gutter="0"/>
          <w:cols w:space="720"/>
        </w:sectPr>
      </w:pPr>
    </w:p>
    <w:p w:rsidR="0090392C" w:rsidRDefault="0090392C">
      <w:pPr>
        <w:spacing w:before="1"/>
        <w:rPr>
          <w:rFonts w:ascii="Arial" w:eastAsia="Arial" w:hAnsi="Arial" w:cs="Arial"/>
          <w:sz w:val="14"/>
          <w:szCs w:val="14"/>
        </w:rPr>
      </w:pPr>
    </w:p>
    <w:p w:rsidR="0090392C" w:rsidRDefault="00FD007F">
      <w:pPr>
        <w:pStyle w:val="BodyText"/>
        <w:spacing w:before="69"/>
        <w:ind w:right="1749"/>
      </w:pPr>
      <w:r>
        <w:t>After the faculty of the academic program, the Dean, and the Division</w:t>
      </w:r>
      <w:r>
        <w:rPr>
          <w:spacing w:val="-28"/>
        </w:rPr>
        <w:t xml:space="preserve"> </w:t>
      </w:r>
      <w:r>
        <w:t>of</w:t>
      </w:r>
    </w:p>
    <w:p w:rsidR="0090392C" w:rsidRDefault="00FD007F">
      <w:pPr>
        <w:pStyle w:val="BodyText"/>
        <w:ind w:right="134"/>
      </w:pPr>
      <w:r>
        <w:t>Academic Affairs have had an opportunity to study all reports and</w:t>
      </w:r>
      <w:r>
        <w:rPr>
          <w:spacing w:val="-26"/>
        </w:rPr>
        <w:t xml:space="preserve"> </w:t>
      </w:r>
      <w:r>
        <w:t>recommendations, representatives of these three areas will meet to discuss recommendations and agree</w:t>
      </w:r>
      <w:r>
        <w:rPr>
          <w:spacing w:val="-26"/>
        </w:rPr>
        <w:t xml:space="preserve"> </w:t>
      </w:r>
      <w:r>
        <w:t>on actions to be taken. This agreement will be embodied in a memorandum of</w:t>
      </w:r>
      <w:r>
        <w:rPr>
          <w:spacing w:val="-29"/>
        </w:rPr>
        <w:t xml:space="preserve"> </w:t>
      </w:r>
      <w:r>
        <w:t>understanding which will be in effect until the completion of the next review cycle. This memorandum</w:t>
      </w:r>
      <w:r>
        <w:rPr>
          <w:spacing w:val="-25"/>
        </w:rPr>
        <w:t xml:space="preserve"> </w:t>
      </w:r>
      <w:r>
        <w:t>of understanding will be kept on file in the Divisions of Academic Affairs and the</w:t>
      </w:r>
      <w:r>
        <w:rPr>
          <w:spacing w:val="-26"/>
        </w:rPr>
        <w:t xml:space="preserve"> </w:t>
      </w:r>
      <w:r>
        <w:t>Academic Senate.</w:t>
      </w:r>
    </w:p>
    <w:p w:rsidR="0090392C" w:rsidRDefault="0090392C">
      <w:pPr>
        <w:spacing w:before="9"/>
        <w:rPr>
          <w:rFonts w:ascii="Arial" w:eastAsia="Arial" w:hAnsi="Arial" w:cs="Arial"/>
          <w:sz w:val="23"/>
          <w:szCs w:val="23"/>
        </w:rPr>
      </w:pPr>
    </w:p>
    <w:p w:rsidR="0090392C" w:rsidRDefault="00FD007F">
      <w:pPr>
        <w:pStyle w:val="Heading1"/>
        <w:ind w:right="6592"/>
        <w:rPr>
          <w:b w:val="0"/>
          <w:bCs w:val="0"/>
          <w:u w:val="none"/>
        </w:rPr>
      </w:pPr>
      <w:r>
        <w:rPr>
          <w:u w:val="thick" w:color="000000"/>
        </w:rPr>
        <w:t>Accredited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Programs</w:t>
      </w:r>
    </w:p>
    <w:p w:rsidR="0090392C" w:rsidRDefault="00FD007F">
      <w:pPr>
        <w:pStyle w:val="BodyText"/>
        <w:ind w:right="229"/>
      </w:pPr>
      <w:r>
        <w:t>For programs that are state or nationally accredited and undergo periodic accreditation</w:t>
      </w:r>
      <w:r>
        <w:rPr>
          <w:spacing w:val="-24"/>
        </w:rPr>
        <w:t xml:space="preserve"> </w:t>
      </w:r>
      <w:r>
        <w:t>review involving a campus visit by an accrediting team, the accreditation review will</w:t>
      </w:r>
      <w:r>
        <w:rPr>
          <w:spacing w:val="-20"/>
        </w:rPr>
        <w:t xml:space="preserve"> </w:t>
      </w:r>
      <w:r>
        <w:t>normally substitute for academic program review with the following</w:t>
      </w:r>
      <w:r>
        <w:rPr>
          <w:spacing w:val="-19"/>
        </w:rPr>
        <w:t xml:space="preserve"> </w:t>
      </w:r>
      <w:r>
        <w:t>exceptions: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Pr="00FD007F" w:rsidRDefault="00FD007F" w:rsidP="00FD007F">
      <w:pPr>
        <w:pStyle w:val="ListParagraph"/>
        <w:numPr>
          <w:ilvl w:val="0"/>
          <w:numId w:val="1"/>
        </w:numPr>
        <w:tabs>
          <w:tab w:val="left" w:pos="480"/>
        </w:tabs>
        <w:ind w:right="14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Following receipt of notification from the accrediting body that a program has been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re- accredited, representatives of the academic program, administration, and Division of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Academic Affairs will develop a memorandum of</w:t>
      </w:r>
      <w:r>
        <w:rPr>
          <w:rFonts w:ascii="Arial"/>
          <w:spacing w:val="-1"/>
          <w:sz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understanding embodying agreements reached in the accreditation review. This memorandum</w:t>
      </w:r>
      <w:r w:rsidRPr="00FD007F">
        <w:rPr>
          <w:rFonts w:ascii="Arial" w:hAnsi="Arial" w:cs="Arial"/>
          <w:spacing w:val="-11"/>
          <w:sz w:val="24"/>
          <w:szCs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of understanding will be in effect until completion of the next accreditation review and will be</w:t>
      </w:r>
      <w:r w:rsidRPr="00FD007F">
        <w:rPr>
          <w:rFonts w:ascii="Arial" w:hAnsi="Arial" w:cs="Arial"/>
          <w:spacing w:val="-31"/>
          <w:sz w:val="24"/>
          <w:szCs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kept on file in the Divisions of Academic Affairs and the Academic</w:t>
      </w:r>
      <w:r w:rsidRPr="00FD007F">
        <w:rPr>
          <w:rFonts w:ascii="Arial" w:hAnsi="Arial" w:cs="Arial"/>
          <w:spacing w:val="-28"/>
          <w:sz w:val="24"/>
          <w:szCs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Senate.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 w:rsidP="00815379">
      <w:pPr>
        <w:pStyle w:val="ListParagraph"/>
        <w:numPr>
          <w:ilvl w:val="0"/>
          <w:numId w:val="1"/>
        </w:numPr>
        <w:tabs>
          <w:tab w:val="left" w:pos="480"/>
        </w:tabs>
        <w:ind w:left="480" w:right="229"/>
      </w:pPr>
      <w:r>
        <w:rPr>
          <w:rFonts w:ascii="Arial"/>
          <w:sz w:val="24"/>
        </w:rPr>
        <w:t>Upon special request of the program, Dean, and/or Provost</w:t>
      </w:r>
      <w:r w:rsidRPr="00291C06">
        <w:rPr>
          <w:rFonts w:ascii="Arial" w:hAnsi="Arial" w:cs="Arial"/>
          <w:sz w:val="24"/>
          <w:szCs w:val="24"/>
        </w:rPr>
        <w:t>, an accredited program shall undergo academic</w:t>
      </w:r>
      <w:r w:rsidRPr="00291C06">
        <w:rPr>
          <w:rFonts w:ascii="Arial" w:hAnsi="Arial" w:cs="Arial"/>
          <w:spacing w:val="-19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program review in addition to accreditation review. In this event, the self-study prepare for</w:t>
      </w:r>
      <w:r w:rsidRPr="00291C06">
        <w:rPr>
          <w:rFonts w:ascii="Arial" w:hAnsi="Arial" w:cs="Arial"/>
          <w:spacing w:val="-25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accreditation may be adapted or substituted, as appropriate, for the purpose of program review, and</w:t>
      </w:r>
      <w:r w:rsidRPr="00291C06">
        <w:rPr>
          <w:rFonts w:ascii="Arial" w:hAnsi="Arial" w:cs="Arial"/>
          <w:spacing w:val="-24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the campus visit by the accrediting team may be substituted for the external</w:t>
      </w:r>
      <w:r w:rsidRPr="00291C06">
        <w:rPr>
          <w:rFonts w:ascii="Arial" w:hAnsi="Arial" w:cs="Arial"/>
          <w:spacing w:val="-31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review.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</w:pPr>
    </w:p>
    <w:p w:rsidR="0090392C" w:rsidRDefault="00FD007F">
      <w:pPr>
        <w:pStyle w:val="Heading1"/>
        <w:ind w:right="1749"/>
        <w:rPr>
          <w:b w:val="0"/>
          <w:bCs w:val="0"/>
          <w:u w:val="none"/>
        </w:rPr>
      </w:pPr>
      <w:r>
        <w:rPr>
          <w:u w:val="thick" w:color="000000"/>
        </w:rPr>
        <w:t>The Program Assessment and Review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Committee</w:t>
      </w:r>
    </w:p>
    <w:p w:rsidR="0090392C" w:rsidRDefault="00FD007F">
      <w:pPr>
        <w:ind w:left="120" w:right="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PARC is an Academic Affairs committee composed of a faculty representative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from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each major, plus the Director of Institutional Research</w:t>
      </w:r>
      <w:proofErr w:type="gramStart"/>
      <w:r>
        <w:rPr>
          <w:rFonts w:ascii="Arial"/>
          <w:b/>
          <w:sz w:val="24"/>
          <w:u w:val="thick" w:color="000000"/>
        </w:rPr>
        <w:t xml:space="preserve">,  </w:t>
      </w:r>
      <w:r>
        <w:rPr>
          <w:rFonts w:ascii="Arial"/>
          <w:b/>
          <w:spacing w:val="-3"/>
          <w:sz w:val="24"/>
          <w:u w:val="thick" w:color="000000"/>
        </w:rPr>
        <w:t>AVP</w:t>
      </w:r>
      <w:proofErr w:type="gramEnd"/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for Academic</w:t>
      </w:r>
      <w:r>
        <w:rPr>
          <w:rFonts w:ascii="Arial"/>
          <w:b/>
          <w:spacing w:val="1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Programs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and Planning, and the Chief Assessment Officer. PARC is charged with</w:t>
      </w:r>
      <w:r>
        <w:rPr>
          <w:rFonts w:ascii="Arial"/>
          <w:b/>
          <w:spacing w:val="-2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overseeing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program assessment within the division and contributing to an effective program</w:t>
      </w:r>
      <w:r>
        <w:rPr>
          <w:rFonts w:ascii="Arial"/>
          <w:b/>
          <w:spacing w:val="-2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review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process.</w:t>
      </w:r>
    </w:p>
    <w:p w:rsidR="0090392C" w:rsidRDefault="0090392C">
      <w:pPr>
        <w:rPr>
          <w:rFonts w:ascii="Arial" w:eastAsia="Arial" w:hAnsi="Arial" w:cs="Arial"/>
          <w:sz w:val="24"/>
          <w:szCs w:val="24"/>
        </w:rPr>
        <w:sectPr w:rsidR="0090392C">
          <w:pgSz w:w="12240" w:h="15840"/>
          <w:pgMar w:top="3220" w:right="960" w:bottom="840" w:left="960" w:header="720" w:footer="643" w:gutter="0"/>
          <w:cols w:space="720"/>
        </w:sectPr>
      </w:pPr>
    </w:p>
    <w:p w:rsidR="0090392C" w:rsidRDefault="00FD007F">
      <w:pPr>
        <w:spacing w:line="245" w:lineRule="exact"/>
        <w:ind w:left="120" w:right="65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lastRenderedPageBreak/>
        <w:t>Program Review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Schedule</w:t>
      </w:r>
    </w:p>
    <w:p w:rsidR="0090392C" w:rsidRDefault="0090392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0392C" w:rsidRDefault="00FD007F">
      <w:pPr>
        <w:pStyle w:val="BodyText"/>
        <w:spacing w:before="69"/>
        <w:ind w:right="229"/>
      </w:pPr>
      <w:r>
        <w:t>Academic programs will be reviewed on a five year cycle. The Dean should assure that</w:t>
      </w:r>
      <w:r>
        <w:rPr>
          <w:spacing w:val="-30"/>
        </w:rPr>
        <w:t xml:space="preserve"> </w:t>
      </w:r>
      <w:r>
        <w:t>the academic programs are reviewed in a timely fashion and that there is</w:t>
      </w:r>
      <w:r>
        <w:rPr>
          <w:spacing w:val="-18"/>
        </w:rPr>
        <w:t xml:space="preserve"> </w:t>
      </w:r>
      <w:r>
        <w:t>appropriate dissemination of information and recommendations. General Education programs shall</w:t>
      </w:r>
      <w:r>
        <w:rPr>
          <w:spacing w:val="-29"/>
        </w:rPr>
        <w:t xml:space="preserve"> </w:t>
      </w:r>
      <w:r>
        <w:t>also undergo review on a five year</w:t>
      </w:r>
      <w:r>
        <w:rPr>
          <w:spacing w:val="-16"/>
        </w:rPr>
        <w:t xml:space="preserve"> </w:t>
      </w:r>
      <w:r>
        <w:t>cycle.</w:t>
      </w:r>
    </w:p>
    <w:sectPr w:rsidR="0090392C">
      <w:pgSz w:w="12240" w:h="15840"/>
      <w:pgMar w:top="3220" w:right="960" w:bottom="840" w:left="960" w:header="720" w:footer="6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4E" w:rsidRDefault="00FD007F">
      <w:r>
        <w:separator/>
      </w:r>
    </w:p>
  </w:endnote>
  <w:endnote w:type="continuationSeparator" w:id="0">
    <w:p w:rsidR="0077404E" w:rsidRDefault="00F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2C" w:rsidRDefault="00291C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4pt;margin-top:748.85pt;width:26.85pt;height:8pt;z-index:-4552;mso-position-horizontal-relative:page;mso-position-vertical-relative:page" filled="f" stroked="f">
          <v:textbox inset="0,0,0,0">
            <w:txbxContent>
              <w:p w:rsidR="0090392C" w:rsidRDefault="00FD007F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proofErr w:type="gramStart"/>
                <w:r>
                  <w:rPr>
                    <w:rFonts w:ascii="Times New Roman"/>
                    <w:i/>
                    <w:sz w:val="12"/>
                  </w:rPr>
                  <w:t>REV  1</w:t>
                </w:r>
                <w:proofErr w:type="gramEnd"/>
                <w:r>
                  <w:rPr>
                    <w:rFonts w:ascii="Times New Roman"/>
                    <w:i/>
                    <w:sz w:val="12"/>
                  </w:rPr>
                  <w:t>/04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4E" w:rsidRDefault="00FD007F">
      <w:r>
        <w:separator/>
      </w:r>
    </w:p>
  </w:footnote>
  <w:footnote w:type="continuationSeparator" w:id="0">
    <w:p w:rsidR="0077404E" w:rsidRDefault="00FD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2C" w:rsidRDefault="00291C0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63pt;margin-top:36pt;width:108.1pt;height:96.1pt;z-index:-46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54pt;margin-top:135.25pt;width:7in;height:27.5pt;z-index:-4624;mso-position-horizontal-relative:page;mso-position-vertical-relative:page" coordorigin="1080,2705" coordsize="10080,550">
          <v:shape id="_x0000_s1029" style="position:absolute;left:1080;top:2705;width:10080;height:550" coordorigin="1080,2705" coordsize="10080,550" path="m1080,3255r10080,l11160,2705r-10080,l1080,3255x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9.2pt;margin-top:58.45pt;width:396.85pt;height:43.45pt;z-index:-4600;mso-position-horizontal-relative:page;mso-position-vertical-relative:page" filled="f" stroked="f">
          <v:textbox inset="0,0,0,0">
            <w:txbxContent>
              <w:p w:rsidR="0090392C" w:rsidRDefault="00FD007F">
                <w:pPr>
                  <w:spacing w:line="326" w:lineRule="exact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/>
                    <w:b/>
                    <w:spacing w:val="-1"/>
                    <w:sz w:val="30"/>
                  </w:rPr>
                  <w:t>C</w:t>
                </w:r>
                <w:r>
                  <w:rPr>
                    <w:rFonts w:ascii="Times New Roman"/>
                    <w:b/>
                    <w:sz w:val="30"/>
                  </w:rPr>
                  <w:t>A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>L</w:t>
                </w:r>
                <w:r>
                  <w:rPr>
                    <w:rFonts w:ascii="Times New Roman"/>
                    <w:b/>
                    <w:sz w:val="30"/>
                  </w:rPr>
                  <w:t>I</w:t>
                </w:r>
                <w:r>
                  <w:rPr>
                    <w:rFonts w:ascii="Times New Roman"/>
                    <w:b/>
                    <w:spacing w:val="-1"/>
                    <w:sz w:val="30"/>
                  </w:rPr>
                  <w:t>F</w:t>
                </w:r>
                <w:r>
                  <w:rPr>
                    <w:rFonts w:ascii="Times New Roman"/>
                    <w:b/>
                    <w:sz w:val="30"/>
                  </w:rPr>
                  <w:t>ORNIA</w:t>
                </w:r>
                <w:r>
                  <w:rPr>
                    <w:rFonts w:ascii="Times New Roman"/>
                    <w:b/>
                    <w:spacing w:val="-1"/>
                    <w:sz w:val="30"/>
                  </w:rPr>
                  <w:t xml:space="preserve"> </w:t>
                </w:r>
                <w:r>
                  <w:rPr>
                    <w:rFonts w:ascii="Times New Roman"/>
                    <w:b/>
                    <w:sz w:val="30"/>
                  </w:rPr>
                  <w:t>S</w:t>
                </w:r>
                <w:r>
                  <w:rPr>
                    <w:rFonts w:ascii="Times New Roman"/>
                    <w:b/>
                    <w:spacing w:val="1"/>
                    <w:sz w:val="30"/>
                  </w:rPr>
                  <w:t>T</w:t>
                </w:r>
                <w:r>
                  <w:rPr>
                    <w:rFonts w:ascii="Times New Roman"/>
                    <w:b/>
                    <w:sz w:val="30"/>
                  </w:rPr>
                  <w:t>A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>T</w:t>
                </w:r>
                <w:r>
                  <w:rPr>
                    <w:rFonts w:ascii="Times New Roman"/>
                    <w:b/>
                    <w:sz w:val="30"/>
                  </w:rPr>
                  <w:t>E U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>N</w:t>
                </w:r>
                <w:r>
                  <w:rPr>
                    <w:rFonts w:ascii="Times New Roman"/>
                    <w:b/>
                    <w:sz w:val="30"/>
                  </w:rPr>
                  <w:t>IV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>E</w:t>
                </w:r>
                <w:r>
                  <w:rPr>
                    <w:rFonts w:ascii="Times New Roman"/>
                    <w:b/>
                    <w:sz w:val="30"/>
                  </w:rPr>
                  <w:t>RS</w:t>
                </w:r>
                <w:r>
                  <w:rPr>
                    <w:rFonts w:ascii="Times New Roman"/>
                    <w:b/>
                    <w:spacing w:val="1"/>
                    <w:sz w:val="30"/>
                  </w:rPr>
                  <w:t>IT</w:t>
                </w:r>
                <w:r>
                  <w:rPr>
                    <w:rFonts w:ascii="Times New Roman"/>
                    <w:b/>
                    <w:sz w:val="30"/>
                  </w:rPr>
                  <w:t>Y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 xml:space="preserve"> </w:t>
                </w:r>
                <w:r>
                  <w:rPr>
                    <w:rFonts w:ascii="Times New Roman"/>
                    <w:b/>
                    <w:sz w:val="30"/>
                  </w:rPr>
                  <w:t>C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>H</w:t>
                </w:r>
                <w:r>
                  <w:rPr>
                    <w:rFonts w:ascii="Times New Roman"/>
                    <w:b/>
                    <w:spacing w:val="1"/>
                    <w:sz w:val="30"/>
                  </w:rPr>
                  <w:t>A</w:t>
                </w:r>
                <w:r>
                  <w:rPr>
                    <w:rFonts w:ascii="Times New Roman"/>
                    <w:b/>
                    <w:sz w:val="30"/>
                  </w:rPr>
                  <w:t>N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>N</w:t>
                </w:r>
                <w:r>
                  <w:rPr>
                    <w:rFonts w:ascii="Times New Roman"/>
                    <w:b/>
                    <w:spacing w:val="1"/>
                    <w:sz w:val="30"/>
                  </w:rPr>
                  <w:t>E</w:t>
                </w:r>
                <w:r>
                  <w:rPr>
                    <w:rFonts w:ascii="Times New Roman"/>
                    <w:b/>
                    <w:sz w:val="30"/>
                  </w:rPr>
                  <w:t>L</w:t>
                </w:r>
                <w:r>
                  <w:rPr>
                    <w:rFonts w:ascii="Times New Roman"/>
                    <w:b/>
                    <w:spacing w:val="-1"/>
                    <w:sz w:val="30"/>
                  </w:rPr>
                  <w:t xml:space="preserve"> </w:t>
                </w:r>
                <w:r>
                  <w:rPr>
                    <w:rFonts w:ascii="Times New Roman"/>
                    <w:b/>
                    <w:sz w:val="30"/>
                  </w:rPr>
                  <w:t>I</w:t>
                </w:r>
                <w:r>
                  <w:rPr>
                    <w:rFonts w:ascii="Times New Roman"/>
                    <w:b/>
                    <w:spacing w:val="1"/>
                    <w:sz w:val="30"/>
                  </w:rPr>
                  <w:t>S</w:t>
                </w:r>
                <w:r>
                  <w:rPr>
                    <w:rFonts w:ascii="Times New Roman"/>
                    <w:b/>
                    <w:spacing w:val="-1"/>
                    <w:sz w:val="30"/>
                  </w:rPr>
                  <w:t>L</w:t>
                </w:r>
                <w:r>
                  <w:rPr>
                    <w:rFonts w:ascii="Times New Roman"/>
                    <w:b/>
                    <w:sz w:val="30"/>
                  </w:rPr>
                  <w:t>A</w:t>
                </w:r>
                <w:r>
                  <w:rPr>
                    <w:rFonts w:ascii="Times New Roman"/>
                    <w:b/>
                    <w:spacing w:val="-2"/>
                    <w:sz w:val="30"/>
                  </w:rPr>
                  <w:t>N</w:t>
                </w:r>
                <w:r>
                  <w:rPr>
                    <w:rFonts w:ascii="Times New Roman"/>
                    <w:b/>
                    <w:sz w:val="30"/>
                  </w:rPr>
                  <w:t>DS</w:t>
                </w:r>
              </w:p>
              <w:p w:rsidR="0090392C" w:rsidRDefault="00FD007F">
                <w:pPr>
                  <w:spacing w:before="3"/>
                  <w:ind w:left="96"/>
                  <w:jc w:val="center"/>
                  <w:rPr>
                    <w:rFonts w:ascii="Times New Roman" w:eastAsia="Times New Roman" w:hAnsi="Times New Roman" w:cs="Times New Roman"/>
                    <w:sz w:val="46"/>
                    <w:szCs w:val="46"/>
                  </w:rPr>
                </w:pPr>
                <w:r>
                  <w:rPr>
                    <w:rFonts w:ascii="Times New Roman"/>
                    <w:sz w:val="46"/>
                  </w:rPr>
                  <w:t>ACADE</w:t>
                </w:r>
                <w:r>
                  <w:rPr>
                    <w:rFonts w:ascii="Times New Roman"/>
                    <w:spacing w:val="-3"/>
                    <w:sz w:val="46"/>
                  </w:rPr>
                  <w:t>M</w:t>
                </w:r>
                <w:r>
                  <w:rPr>
                    <w:rFonts w:ascii="Times New Roman"/>
                    <w:sz w:val="46"/>
                  </w:rPr>
                  <w:t>IC</w:t>
                </w:r>
                <w:r>
                  <w:rPr>
                    <w:rFonts w:ascii="Times New Roman"/>
                    <w:spacing w:val="-3"/>
                    <w:sz w:val="46"/>
                  </w:rPr>
                  <w:t xml:space="preserve"> </w:t>
                </w:r>
                <w:r>
                  <w:rPr>
                    <w:rFonts w:ascii="Times New Roman"/>
                    <w:sz w:val="46"/>
                  </w:rPr>
                  <w:t>SE</w:t>
                </w:r>
                <w:r>
                  <w:rPr>
                    <w:rFonts w:ascii="Times New Roman"/>
                    <w:spacing w:val="-2"/>
                    <w:sz w:val="46"/>
                  </w:rPr>
                  <w:t>N</w:t>
                </w:r>
                <w:r>
                  <w:rPr>
                    <w:rFonts w:ascii="Times New Roman"/>
                    <w:sz w:val="46"/>
                  </w:rPr>
                  <w:t xml:space="preserve">ATE </w:t>
                </w:r>
                <w:r>
                  <w:rPr>
                    <w:rFonts w:ascii="Times New Roman"/>
                    <w:spacing w:val="-2"/>
                    <w:sz w:val="46"/>
                  </w:rPr>
                  <w:t>P</w:t>
                </w:r>
                <w:r>
                  <w:rPr>
                    <w:rFonts w:ascii="Times New Roman"/>
                    <w:sz w:val="4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82.4pt;margin-top:139.9pt;width:247.25pt;height:16.05pt;z-index:-4576;mso-position-horizontal-relative:page;mso-position-vertical-relative:page" filled="f" stroked="f">
          <v:textbox inset="0,0,0,0">
            <w:txbxContent>
              <w:p w:rsidR="0090392C" w:rsidRDefault="00FD007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2"/>
                    <w:sz w:val="28"/>
                  </w:rPr>
                  <w:t>P</w:t>
                </w:r>
                <w:r>
                  <w:rPr>
                    <w:rFonts w:ascii="Times New Roman"/>
                    <w:b/>
                    <w:sz w:val="28"/>
                  </w:rPr>
                  <w:t>o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l</w:t>
                </w:r>
                <w:r>
                  <w:rPr>
                    <w:rFonts w:ascii="Times New Roman"/>
                    <w:b/>
                    <w:sz w:val="28"/>
                  </w:rPr>
                  <w:t>icy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f</w:t>
                </w:r>
                <w:r>
                  <w:rPr>
                    <w:rFonts w:ascii="Times New Roman"/>
                    <w:b/>
                    <w:sz w:val="28"/>
                  </w:rPr>
                  <w:t xml:space="preserve">or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R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e</w:t>
                </w:r>
                <w:r>
                  <w:rPr>
                    <w:rFonts w:ascii="Times New Roman"/>
                    <w:b/>
                    <w:sz w:val="28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i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e</w:t>
                </w:r>
                <w:r>
                  <w:rPr>
                    <w:rFonts w:ascii="Times New Roman"/>
                    <w:b/>
                    <w:sz w:val="28"/>
                  </w:rPr>
                  <w:t>w of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b/>
                    <w:sz w:val="28"/>
                  </w:rPr>
                  <w:t>c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>a</w:t>
                </w:r>
                <w:r>
                  <w:rPr>
                    <w:rFonts w:ascii="Times New Roman"/>
                    <w:b/>
                    <w:sz w:val="28"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m</w:t>
                </w:r>
                <w:r>
                  <w:rPr>
                    <w:rFonts w:ascii="Times New Roman"/>
                    <w:b/>
                    <w:sz w:val="28"/>
                  </w:rPr>
                  <w:t xml:space="preserve">ic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P</w:t>
                </w:r>
                <w:r>
                  <w:rPr>
                    <w:rFonts w:ascii="Times New Roman"/>
                    <w:b/>
                    <w:sz w:val="28"/>
                  </w:rPr>
                  <w:t>r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>o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g</w:t>
                </w:r>
                <w:r>
                  <w:rPr>
                    <w:rFonts w:ascii="Times New Roman"/>
                    <w:b/>
                    <w:sz w:val="28"/>
                  </w:rPr>
                  <w:t>r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>a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m</w:t>
                </w:r>
                <w:r>
                  <w:rPr>
                    <w:rFonts w:ascii="Times New Roman"/>
                    <w:b/>
                    <w:sz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CF7"/>
    <w:multiLevelType w:val="hybridMultilevel"/>
    <w:tmpl w:val="0004E106"/>
    <w:lvl w:ilvl="0" w:tplc="4986F714">
      <w:start w:val="1"/>
      <w:numFmt w:val="lowerLetter"/>
      <w:lvlText w:val="(%1)"/>
      <w:lvlJc w:val="left"/>
      <w:pPr>
        <w:ind w:left="12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930AB70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85E2D40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050737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AA367F1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E910B4E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C5439F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2E24DD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F0439F2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>
    <w:nsid w:val="227C177A"/>
    <w:multiLevelType w:val="hybridMultilevel"/>
    <w:tmpl w:val="A056A4FC"/>
    <w:lvl w:ilvl="0" w:tplc="CB88BCB4">
      <w:start w:val="1"/>
      <w:numFmt w:val="decimal"/>
      <w:lvlText w:val="%1."/>
      <w:lvlJc w:val="left"/>
      <w:pPr>
        <w:ind w:left="390" w:hanging="27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FE48BD3C">
      <w:start w:val="1"/>
      <w:numFmt w:val="bullet"/>
      <w:lvlText w:val="•"/>
      <w:lvlJc w:val="left"/>
      <w:pPr>
        <w:ind w:left="1392" w:hanging="271"/>
      </w:pPr>
      <w:rPr>
        <w:rFonts w:hint="default"/>
      </w:rPr>
    </w:lvl>
    <w:lvl w:ilvl="2" w:tplc="1A2EAD88">
      <w:start w:val="1"/>
      <w:numFmt w:val="bullet"/>
      <w:lvlText w:val="•"/>
      <w:lvlJc w:val="left"/>
      <w:pPr>
        <w:ind w:left="2384" w:hanging="271"/>
      </w:pPr>
      <w:rPr>
        <w:rFonts w:hint="default"/>
      </w:rPr>
    </w:lvl>
    <w:lvl w:ilvl="3" w:tplc="F094FE60">
      <w:start w:val="1"/>
      <w:numFmt w:val="bullet"/>
      <w:lvlText w:val="•"/>
      <w:lvlJc w:val="left"/>
      <w:pPr>
        <w:ind w:left="3376" w:hanging="271"/>
      </w:pPr>
      <w:rPr>
        <w:rFonts w:hint="default"/>
      </w:rPr>
    </w:lvl>
    <w:lvl w:ilvl="4" w:tplc="3D00A280">
      <w:start w:val="1"/>
      <w:numFmt w:val="bullet"/>
      <w:lvlText w:val="•"/>
      <w:lvlJc w:val="left"/>
      <w:pPr>
        <w:ind w:left="4368" w:hanging="271"/>
      </w:pPr>
      <w:rPr>
        <w:rFonts w:hint="default"/>
      </w:rPr>
    </w:lvl>
    <w:lvl w:ilvl="5" w:tplc="77A09E80">
      <w:start w:val="1"/>
      <w:numFmt w:val="bullet"/>
      <w:lvlText w:val="•"/>
      <w:lvlJc w:val="left"/>
      <w:pPr>
        <w:ind w:left="5360" w:hanging="271"/>
      </w:pPr>
      <w:rPr>
        <w:rFonts w:hint="default"/>
      </w:rPr>
    </w:lvl>
    <w:lvl w:ilvl="6" w:tplc="41189168">
      <w:start w:val="1"/>
      <w:numFmt w:val="bullet"/>
      <w:lvlText w:val="•"/>
      <w:lvlJc w:val="left"/>
      <w:pPr>
        <w:ind w:left="6352" w:hanging="271"/>
      </w:pPr>
      <w:rPr>
        <w:rFonts w:hint="default"/>
      </w:rPr>
    </w:lvl>
    <w:lvl w:ilvl="7" w:tplc="E9C00560">
      <w:start w:val="1"/>
      <w:numFmt w:val="bullet"/>
      <w:lvlText w:val="•"/>
      <w:lvlJc w:val="left"/>
      <w:pPr>
        <w:ind w:left="7344" w:hanging="271"/>
      </w:pPr>
      <w:rPr>
        <w:rFonts w:hint="default"/>
      </w:rPr>
    </w:lvl>
    <w:lvl w:ilvl="8" w:tplc="9208C5E2">
      <w:start w:val="1"/>
      <w:numFmt w:val="bullet"/>
      <w:lvlText w:val="•"/>
      <w:lvlJc w:val="left"/>
      <w:pPr>
        <w:ind w:left="8336" w:hanging="271"/>
      </w:pPr>
      <w:rPr>
        <w:rFonts w:hint="default"/>
      </w:rPr>
    </w:lvl>
  </w:abstractNum>
  <w:abstractNum w:abstractNumId="2">
    <w:nsid w:val="3C780AD3"/>
    <w:multiLevelType w:val="hybridMultilevel"/>
    <w:tmpl w:val="C840D6DC"/>
    <w:lvl w:ilvl="0" w:tplc="32DEB7AA">
      <w:start w:val="1"/>
      <w:numFmt w:val="bullet"/>
      <w:lvlText w:val=""/>
      <w:lvlJc w:val="left"/>
      <w:pPr>
        <w:ind w:left="600" w:hanging="241"/>
      </w:pPr>
      <w:rPr>
        <w:rFonts w:ascii="Symbol" w:eastAsia="Symbol" w:hAnsi="Symbol" w:hint="default"/>
        <w:w w:val="100"/>
        <w:sz w:val="24"/>
        <w:szCs w:val="24"/>
      </w:rPr>
    </w:lvl>
    <w:lvl w:ilvl="1" w:tplc="935A49F0">
      <w:start w:val="1"/>
      <w:numFmt w:val="bullet"/>
      <w:lvlText w:val="•"/>
      <w:lvlJc w:val="left"/>
      <w:pPr>
        <w:ind w:left="1572" w:hanging="241"/>
      </w:pPr>
      <w:rPr>
        <w:rFonts w:hint="default"/>
      </w:rPr>
    </w:lvl>
    <w:lvl w:ilvl="2" w:tplc="FC82927C">
      <w:start w:val="1"/>
      <w:numFmt w:val="bullet"/>
      <w:lvlText w:val="•"/>
      <w:lvlJc w:val="left"/>
      <w:pPr>
        <w:ind w:left="2544" w:hanging="241"/>
      </w:pPr>
      <w:rPr>
        <w:rFonts w:hint="default"/>
      </w:rPr>
    </w:lvl>
    <w:lvl w:ilvl="3" w:tplc="2AD0E3E0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BB7E77A4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5" w:tplc="73DC5C3C">
      <w:start w:val="1"/>
      <w:numFmt w:val="bullet"/>
      <w:lvlText w:val="•"/>
      <w:lvlJc w:val="left"/>
      <w:pPr>
        <w:ind w:left="5460" w:hanging="241"/>
      </w:pPr>
      <w:rPr>
        <w:rFonts w:hint="default"/>
      </w:rPr>
    </w:lvl>
    <w:lvl w:ilvl="6" w:tplc="C84CBAE8">
      <w:start w:val="1"/>
      <w:numFmt w:val="bullet"/>
      <w:lvlText w:val="•"/>
      <w:lvlJc w:val="left"/>
      <w:pPr>
        <w:ind w:left="6432" w:hanging="241"/>
      </w:pPr>
      <w:rPr>
        <w:rFonts w:hint="default"/>
      </w:rPr>
    </w:lvl>
    <w:lvl w:ilvl="7" w:tplc="F6FCD258">
      <w:start w:val="1"/>
      <w:numFmt w:val="bullet"/>
      <w:lvlText w:val="•"/>
      <w:lvlJc w:val="left"/>
      <w:pPr>
        <w:ind w:left="7404" w:hanging="241"/>
      </w:pPr>
      <w:rPr>
        <w:rFonts w:hint="default"/>
      </w:rPr>
    </w:lvl>
    <w:lvl w:ilvl="8" w:tplc="FE70BF0C">
      <w:start w:val="1"/>
      <w:numFmt w:val="bullet"/>
      <w:lvlText w:val="•"/>
      <w:lvlJc w:val="left"/>
      <w:pPr>
        <w:ind w:left="8376" w:hanging="241"/>
      </w:pPr>
      <w:rPr>
        <w:rFonts w:hint="default"/>
      </w:rPr>
    </w:lvl>
  </w:abstractNum>
  <w:abstractNum w:abstractNumId="3">
    <w:nsid w:val="72127CC4"/>
    <w:multiLevelType w:val="hybridMultilevel"/>
    <w:tmpl w:val="802223B0"/>
    <w:lvl w:ilvl="0" w:tplc="5D8ACA98">
      <w:start w:val="1"/>
      <w:numFmt w:val="decimal"/>
      <w:lvlText w:val="%1."/>
      <w:lvlJc w:val="left"/>
      <w:pPr>
        <w:ind w:left="388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ADF889FC">
      <w:start w:val="1"/>
      <w:numFmt w:val="bullet"/>
      <w:lvlText w:val="•"/>
      <w:lvlJc w:val="left"/>
      <w:pPr>
        <w:ind w:left="1374" w:hanging="269"/>
      </w:pPr>
      <w:rPr>
        <w:rFonts w:hint="default"/>
      </w:rPr>
    </w:lvl>
    <w:lvl w:ilvl="2" w:tplc="24567E7C">
      <w:start w:val="1"/>
      <w:numFmt w:val="bullet"/>
      <w:lvlText w:val="•"/>
      <w:lvlJc w:val="left"/>
      <w:pPr>
        <w:ind w:left="2368" w:hanging="269"/>
      </w:pPr>
      <w:rPr>
        <w:rFonts w:hint="default"/>
      </w:rPr>
    </w:lvl>
    <w:lvl w:ilvl="3" w:tplc="E61A1DBA">
      <w:start w:val="1"/>
      <w:numFmt w:val="bullet"/>
      <w:lvlText w:val="•"/>
      <w:lvlJc w:val="left"/>
      <w:pPr>
        <w:ind w:left="3362" w:hanging="269"/>
      </w:pPr>
      <w:rPr>
        <w:rFonts w:hint="default"/>
      </w:rPr>
    </w:lvl>
    <w:lvl w:ilvl="4" w:tplc="AA46B4E0">
      <w:start w:val="1"/>
      <w:numFmt w:val="bullet"/>
      <w:lvlText w:val="•"/>
      <w:lvlJc w:val="left"/>
      <w:pPr>
        <w:ind w:left="4356" w:hanging="269"/>
      </w:pPr>
      <w:rPr>
        <w:rFonts w:hint="default"/>
      </w:rPr>
    </w:lvl>
    <w:lvl w:ilvl="5" w:tplc="91E0B2F0">
      <w:start w:val="1"/>
      <w:numFmt w:val="bullet"/>
      <w:lvlText w:val="•"/>
      <w:lvlJc w:val="left"/>
      <w:pPr>
        <w:ind w:left="5350" w:hanging="269"/>
      </w:pPr>
      <w:rPr>
        <w:rFonts w:hint="default"/>
      </w:rPr>
    </w:lvl>
    <w:lvl w:ilvl="6" w:tplc="510A7C36">
      <w:start w:val="1"/>
      <w:numFmt w:val="bullet"/>
      <w:lvlText w:val="•"/>
      <w:lvlJc w:val="left"/>
      <w:pPr>
        <w:ind w:left="6344" w:hanging="269"/>
      </w:pPr>
      <w:rPr>
        <w:rFonts w:hint="default"/>
      </w:rPr>
    </w:lvl>
    <w:lvl w:ilvl="7" w:tplc="C81A4474">
      <w:start w:val="1"/>
      <w:numFmt w:val="bullet"/>
      <w:lvlText w:val="•"/>
      <w:lvlJc w:val="left"/>
      <w:pPr>
        <w:ind w:left="7338" w:hanging="269"/>
      </w:pPr>
      <w:rPr>
        <w:rFonts w:hint="default"/>
      </w:rPr>
    </w:lvl>
    <w:lvl w:ilvl="8" w:tplc="7C344578">
      <w:start w:val="1"/>
      <w:numFmt w:val="bullet"/>
      <w:lvlText w:val="•"/>
      <w:lvlJc w:val="left"/>
      <w:pPr>
        <w:ind w:left="8332" w:hanging="2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392C"/>
    <w:rsid w:val="00291C06"/>
    <w:rsid w:val="0077404E"/>
    <w:rsid w:val="0090392C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054539-530B-4CC8-8716-993236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1270</Words>
  <Characters>7245</Characters>
  <Application>Microsoft Office Word</Application>
  <DocSecurity>0</DocSecurity>
  <Lines>60</Lines>
  <Paragraphs>16</Paragraphs>
  <ScaleCrop>false</ScaleCrop>
  <Company>CSU Channel Islands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Divisionof Offic</dc:title>
  <dc:creator>melissa.remotti</dc:creator>
  <cp:lastModifiedBy>Yu, Justin</cp:lastModifiedBy>
  <cp:revision>3</cp:revision>
  <dcterms:created xsi:type="dcterms:W3CDTF">2016-10-14T11:10:00Z</dcterms:created>
  <dcterms:modified xsi:type="dcterms:W3CDTF">2016-10-17T16:59:00Z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2016-10-14T00:00:00Z</vt:filetime>
  </property>
</Properties>
</file>