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GE SLO 6.3: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Critically analyze the intersection of race and racism as they relate to class, gender, sexuality, religion, spirituality, national origin, immigration status, ability, tribal citizenship, sovereignty, language and/or age in Native American, African American, Asian American, and/or Latina and Latino American communities.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57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0"/>
        <w:gridCol w:w="2610"/>
        <w:gridCol w:w="2610"/>
        <w:gridCol w:w="2610"/>
        <w:gridCol w:w="3135"/>
        <w:tblGridChange w:id="0">
          <w:tblGrid>
            <w:gridCol w:w="2610"/>
            <w:gridCol w:w="2610"/>
            <w:gridCol w:w="2610"/>
            <w:gridCol w:w="2610"/>
            <w:gridCol w:w="3135"/>
          </w:tblGrid>
        </w:tblGridChange>
      </w:tblGrid>
      <w:tr>
        <w:trPr>
          <w:cantSplit w:val="0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Initial (1)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Emerging (2)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Developing (3)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Highly Developed (4)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Depth of Intersectional Analysis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Shows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 limited or simplistic understanding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of how race and racism intersect with other social identities. Analysis is underdeveloped and may reflect a singular or isolated perspective.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Identifies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some intersections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between race and other identities, though analysis may be surface-level or lack complexity. Connections may not be fully articulated.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Demonstrates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 nuanced understanding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of intersectionality. Offers relevant and thoughtful connections among multiple identities, reflecting growing analytical sophistication.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Explains a comprehensive nuanced, and insightful analysis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of intersectionality. Demonstrates advanced understanding of how race and racism interact with multiple social identities in complex, contextually grounded ways.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Use of Examples and Evidence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Provides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vague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or minimal examples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Evidence may be missing, inaccurate, or insufficiently linked to claims.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Includes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limited or loosely connected examples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Use of evidence is inconsistent or underdeveloped.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Incorporates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appropriate and specific examples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from relevant communities. Evidence supports claims with moderate consistency and relevance.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Integrates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 diverse range of compelling, well-contextualized examples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 Evidence strongly supports and enhances analytical claims across contexts.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Awareness of Power, Privilege, and Structural Inequality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Displays minimal awareness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of systemic power structures. May conflate individual bias with institutional racism.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Recognizes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structural dimensions of inequality. Analysis may be overgeneralized or lack depth.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Clearly articulates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the role of structural power, privilege, and institutional systems in shaping racialized experiences. Connects theory to practice with growing clarity.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Demonstrates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 nuanced and critical understanding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of systemic oppression and institutional racism. Thoroughly engages with theoretical frameworks and real-world applications.</w:t>
            </w:r>
          </w:p>
        </w:tc>
      </w:tr>
    </w:tbl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(Created May 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fxvsMIf4Wrk6euX9COGSAQMz0Q==">CgMxLjA4AHIhMVdVNG9GU0xpby1Oc1FTT1JTa2Q3b1Q1X0oxYkhMVTFk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