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C7AC3" w14:textId="77777777" w:rsidR="002E1D7E" w:rsidRPr="00566AD3" w:rsidRDefault="002E1D7E" w:rsidP="002E1D7E">
      <w:pPr>
        <w:rPr>
          <w:b/>
        </w:rPr>
      </w:pPr>
      <w:r w:rsidRPr="00566AD3">
        <w:rPr>
          <w:b/>
        </w:rPr>
        <w:t xml:space="preserve">PREPARED BY: </w:t>
      </w:r>
    </w:p>
    <w:p w14:paraId="71BE70F7" w14:textId="77777777" w:rsidR="002E1D7E" w:rsidRPr="00566AD3" w:rsidRDefault="002E1D7E" w:rsidP="002E1D7E">
      <w:r>
        <w:t>Curriculum Committee 2014–15</w:t>
      </w:r>
      <w:r w:rsidRPr="003474F1">
        <w:t xml:space="preserve">: </w:t>
      </w:r>
      <w:r>
        <w:t xml:space="preserve">Jared Barton, Geoffrey Buhl, Blake </w:t>
      </w:r>
      <w:proofErr w:type="spellStart"/>
      <w:r>
        <w:t>Büller</w:t>
      </w:r>
      <w:proofErr w:type="spellEnd"/>
      <w:r>
        <w:t xml:space="preserve">, Gina Farrar, Blake Gillespie (co-chair), Karen Jensen, Todd Oberson, Alison </w:t>
      </w:r>
      <w:proofErr w:type="spellStart"/>
      <w:r>
        <w:t>Perchuk</w:t>
      </w:r>
      <w:proofErr w:type="spellEnd"/>
      <w:r>
        <w:t xml:space="preserve"> (co-chair), Monica Pereira, Jennifer Perry, Janet Rizzoli, Rosa Rodriguez.</w:t>
      </w:r>
    </w:p>
    <w:p w14:paraId="3200A3C0" w14:textId="77777777" w:rsidR="002E1D7E" w:rsidRDefault="002E1D7E" w:rsidP="002E1D7E">
      <w:pPr>
        <w:tabs>
          <w:tab w:val="left" w:pos="5970"/>
        </w:tabs>
        <w:rPr>
          <w:b/>
          <w:color w:val="000000"/>
        </w:rPr>
      </w:pPr>
    </w:p>
    <w:p w14:paraId="5D96C581" w14:textId="77777777" w:rsidR="002E1D7E" w:rsidRDefault="002E1D7E" w:rsidP="002E1D7E">
      <w:pPr>
        <w:tabs>
          <w:tab w:val="left" w:pos="5970"/>
        </w:tabs>
        <w:rPr>
          <w:bCs/>
          <w:color w:val="000000"/>
        </w:rPr>
      </w:pPr>
      <w:r>
        <w:rPr>
          <w:b/>
          <w:color w:val="000000"/>
        </w:rPr>
        <w:t xml:space="preserve">PURPOSE: </w:t>
      </w:r>
      <w:r>
        <w:rPr>
          <w:b/>
          <w:color w:val="000000"/>
        </w:rPr>
        <w:br/>
      </w:r>
      <w:r>
        <w:rPr>
          <w:bCs/>
        </w:rPr>
        <w:t>Amends</w:t>
      </w:r>
      <w:r w:rsidRPr="00DB3B9F">
        <w:rPr>
          <w:bCs/>
        </w:rPr>
        <w:t xml:space="preserve"> polic</w:t>
      </w:r>
      <w:r>
        <w:rPr>
          <w:bCs/>
        </w:rPr>
        <w:t>y</w:t>
      </w:r>
      <w:r w:rsidRPr="00DB3B9F">
        <w:rPr>
          <w:bCs/>
        </w:rPr>
        <w:t xml:space="preserve"> SP 01-02 “Minimum Characteristics of Majors and Minors” </w:t>
      </w:r>
      <w:r>
        <w:rPr>
          <w:bCs/>
        </w:rPr>
        <w:t>to maintain consistency with updated Policy on Minors (SP 15-XX)</w:t>
      </w:r>
      <w:r w:rsidRPr="00DB3B9F">
        <w:rPr>
          <w:bCs/>
        </w:rPr>
        <w:t>.</w:t>
      </w:r>
    </w:p>
    <w:p w14:paraId="7C23CE03" w14:textId="77777777" w:rsidR="002E1D7E" w:rsidRDefault="002E1D7E" w:rsidP="002E1D7E">
      <w:pPr>
        <w:rPr>
          <w:bCs/>
          <w:color w:val="000000"/>
        </w:rPr>
      </w:pPr>
    </w:p>
    <w:p w14:paraId="04A3355D" w14:textId="77777777" w:rsidR="002E1D7E" w:rsidRDefault="002E1D7E" w:rsidP="002E1D7E">
      <w:pPr>
        <w:rPr>
          <w:bCs/>
          <w:color w:val="000000"/>
        </w:rPr>
      </w:pPr>
      <w:r>
        <w:rPr>
          <w:b/>
          <w:color w:val="000000"/>
        </w:rPr>
        <w:t xml:space="preserve">BACKGROUND: </w:t>
      </w:r>
      <w:r>
        <w:rPr>
          <w:b/>
          <w:color w:val="000000"/>
        </w:rPr>
        <w:br/>
      </w:r>
      <w:r w:rsidR="009A3DF5">
        <w:rPr>
          <w:bCs/>
          <w:color w:val="000000"/>
        </w:rPr>
        <w:t>The information on the minimum characteristics of majors and minors in the newly proposed policy conflicts with the older policy. This policy replaces the older policy, and also removes language that is no longer needed (e.g., because it is conta</w:t>
      </w:r>
      <w:bookmarkStart w:id="0" w:name="_GoBack"/>
      <w:bookmarkEnd w:id="0"/>
      <w:r w:rsidR="009A3DF5">
        <w:rPr>
          <w:bCs/>
          <w:color w:val="000000"/>
        </w:rPr>
        <w:t xml:space="preserve">ined in other subsequently </w:t>
      </w:r>
      <w:r w:rsidR="00AC55D7">
        <w:rPr>
          <w:bCs/>
          <w:color w:val="000000"/>
        </w:rPr>
        <w:t xml:space="preserve">passed </w:t>
      </w:r>
      <w:r w:rsidR="009A3DF5">
        <w:rPr>
          <w:bCs/>
          <w:color w:val="000000"/>
        </w:rPr>
        <w:t>policies).</w:t>
      </w:r>
    </w:p>
    <w:p w14:paraId="0442F666" w14:textId="77777777" w:rsidR="002E1D7E" w:rsidRDefault="002E1D7E" w:rsidP="002E1D7E">
      <w:pPr>
        <w:rPr>
          <w:b/>
          <w:bCs/>
          <w:color w:val="000000"/>
        </w:rPr>
      </w:pPr>
    </w:p>
    <w:p w14:paraId="17F350B8" w14:textId="77777777" w:rsidR="002E1D7E" w:rsidRPr="00466592" w:rsidRDefault="002E1D7E" w:rsidP="002E1D7E">
      <w:pPr>
        <w:rPr>
          <w:b/>
          <w:bCs/>
          <w:color w:val="000000"/>
        </w:rPr>
      </w:pPr>
      <w:r w:rsidRPr="00466592">
        <w:rPr>
          <w:b/>
          <w:bCs/>
          <w:color w:val="000000"/>
        </w:rPr>
        <w:t>POLICY:</w:t>
      </w:r>
    </w:p>
    <w:p w14:paraId="6C6C5604" w14:textId="77777777" w:rsidR="002E1D7E" w:rsidRDefault="002E1D7E" w:rsidP="002E1D7E">
      <w:pPr>
        <w:rPr>
          <w:b/>
          <w:color w:val="000000"/>
        </w:rPr>
      </w:pPr>
      <w:r>
        <w:rPr>
          <w:b/>
          <w:color w:val="000000"/>
        </w:rPr>
        <w:t xml:space="preserve">Accountability: </w:t>
      </w:r>
    </w:p>
    <w:p w14:paraId="132CD9FB" w14:textId="77777777" w:rsidR="002E1D7E" w:rsidRPr="00DB3B9F" w:rsidRDefault="002E1D7E" w:rsidP="002E1D7E">
      <w:r>
        <w:t>Academic Affairs.</w:t>
      </w:r>
    </w:p>
    <w:p w14:paraId="3AB335D8" w14:textId="77777777" w:rsidR="002E1D7E" w:rsidRDefault="002E1D7E" w:rsidP="002E1D7E">
      <w:pPr>
        <w:rPr>
          <w:bCs/>
          <w:color w:val="000000"/>
        </w:rPr>
      </w:pPr>
    </w:p>
    <w:p w14:paraId="08257A23" w14:textId="77777777" w:rsidR="002E1D7E" w:rsidRDefault="002E1D7E" w:rsidP="002E1D7E">
      <w:pPr>
        <w:rPr>
          <w:b/>
          <w:color w:val="000000"/>
        </w:rPr>
      </w:pPr>
      <w:r>
        <w:rPr>
          <w:b/>
          <w:color w:val="000000"/>
        </w:rPr>
        <w:t xml:space="preserve">Applicability: </w:t>
      </w:r>
    </w:p>
    <w:p w14:paraId="20CB3BF3" w14:textId="77777777" w:rsidR="002E1D7E" w:rsidRDefault="002E1D7E" w:rsidP="002E1D7E">
      <w:pPr>
        <w:rPr>
          <w:bCs/>
          <w:color w:val="000000"/>
        </w:rPr>
      </w:pPr>
      <w:r w:rsidRPr="003474F1">
        <w:t>All CSU Channel Islands undergraduate students.</w:t>
      </w:r>
    </w:p>
    <w:p w14:paraId="2FC7ABB3" w14:textId="77777777" w:rsidR="002E1D7E" w:rsidRDefault="002E1D7E" w:rsidP="002E1D7E">
      <w:pPr>
        <w:rPr>
          <w:color w:val="000000"/>
        </w:rPr>
      </w:pPr>
    </w:p>
    <w:p w14:paraId="1A12C460" w14:textId="77777777" w:rsidR="002E1D7E" w:rsidRDefault="002E1D7E" w:rsidP="002E1D7E">
      <w:pPr>
        <w:rPr>
          <w:b/>
          <w:color w:val="000000"/>
        </w:rPr>
      </w:pPr>
      <w:r>
        <w:rPr>
          <w:b/>
          <w:color w:val="000000"/>
        </w:rPr>
        <w:t xml:space="preserve">Policy Text: </w:t>
      </w:r>
    </w:p>
    <w:p w14:paraId="5D046240" w14:textId="77777777" w:rsidR="002E1D7E" w:rsidRDefault="002E1D7E" w:rsidP="002E1D7E">
      <w:pPr>
        <w:rPr>
          <w:b/>
          <w:color w:val="000000"/>
        </w:rPr>
      </w:pPr>
    </w:p>
    <w:tbl>
      <w:tblPr>
        <w:tblStyle w:val="TableGrid"/>
        <w:tblW w:w="7537" w:type="dxa"/>
        <w:tblLook w:val="04A0" w:firstRow="1" w:lastRow="0" w:firstColumn="1" w:lastColumn="0" w:noHBand="0" w:noVBand="1"/>
      </w:tblPr>
      <w:tblGrid>
        <w:gridCol w:w="4855"/>
        <w:gridCol w:w="990"/>
        <w:gridCol w:w="882"/>
        <w:gridCol w:w="810"/>
      </w:tblGrid>
      <w:tr w:rsidR="002E1D7E" w14:paraId="756B96E2" w14:textId="77777777" w:rsidTr="002E1D7E">
        <w:tc>
          <w:tcPr>
            <w:tcW w:w="4855" w:type="dxa"/>
            <w:vMerge w:val="restart"/>
          </w:tcPr>
          <w:p w14:paraId="0C3A271E" w14:textId="77777777" w:rsidR="002E1D7E" w:rsidRDefault="002E1D7E" w:rsidP="002E1D7E">
            <w:pPr>
              <w:jc w:val="center"/>
              <w:rPr>
                <w:b/>
                <w:color w:val="000000"/>
              </w:rPr>
            </w:pPr>
            <w:r>
              <w:rPr>
                <w:b/>
                <w:color w:val="000000"/>
              </w:rPr>
              <w:t>MINIMUM UNIT REQUIREMENTS</w:t>
            </w:r>
          </w:p>
        </w:tc>
        <w:tc>
          <w:tcPr>
            <w:tcW w:w="990" w:type="dxa"/>
            <w:vMerge w:val="restart"/>
          </w:tcPr>
          <w:p w14:paraId="2DFB52A9" w14:textId="77777777" w:rsidR="002E1D7E" w:rsidRDefault="002E1D7E" w:rsidP="002E1D7E">
            <w:pPr>
              <w:jc w:val="center"/>
              <w:rPr>
                <w:b/>
                <w:color w:val="000000"/>
              </w:rPr>
            </w:pPr>
            <w:r>
              <w:rPr>
                <w:b/>
                <w:color w:val="000000"/>
              </w:rPr>
              <w:t>Minor</w:t>
            </w:r>
          </w:p>
        </w:tc>
        <w:tc>
          <w:tcPr>
            <w:tcW w:w="1692" w:type="dxa"/>
            <w:gridSpan w:val="2"/>
          </w:tcPr>
          <w:p w14:paraId="1D9EF00B" w14:textId="77777777" w:rsidR="002E1D7E" w:rsidRDefault="002E1D7E" w:rsidP="002E1D7E">
            <w:pPr>
              <w:jc w:val="center"/>
              <w:rPr>
                <w:b/>
                <w:color w:val="000000"/>
              </w:rPr>
            </w:pPr>
            <w:r>
              <w:rPr>
                <w:b/>
                <w:color w:val="000000"/>
              </w:rPr>
              <w:t>Major</w:t>
            </w:r>
          </w:p>
        </w:tc>
      </w:tr>
      <w:tr w:rsidR="002E1D7E" w14:paraId="56EA2E8E" w14:textId="77777777" w:rsidTr="002E1D7E">
        <w:tc>
          <w:tcPr>
            <w:tcW w:w="4855" w:type="dxa"/>
            <w:vMerge/>
          </w:tcPr>
          <w:p w14:paraId="3B88417B" w14:textId="77777777" w:rsidR="002E1D7E" w:rsidRDefault="002E1D7E" w:rsidP="002E1D7E">
            <w:pPr>
              <w:jc w:val="center"/>
              <w:rPr>
                <w:b/>
                <w:color w:val="000000"/>
              </w:rPr>
            </w:pPr>
          </w:p>
        </w:tc>
        <w:tc>
          <w:tcPr>
            <w:tcW w:w="990" w:type="dxa"/>
            <w:vMerge/>
          </w:tcPr>
          <w:p w14:paraId="7544DC61" w14:textId="77777777" w:rsidR="002E1D7E" w:rsidRDefault="002E1D7E" w:rsidP="002E1D7E">
            <w:pPr>
              <w:jc w:val="center"/>
              <w:rPr>
                <w:b/>
                <w:color w:val="000000"/>
              </w:rPr>
            </w:pPr>
          </w:p>
        </w:tc>
        <w:tc>
          <w:tcPr>
            <w:tcW w:w="882" w:type="dxa"/>
          </w:tcPr>
          <w:p w14:paraId="6DC76720" w14:textId="77777777" w:rsidR="002E1D7E" w:rsidRDefault="002E1D7E" w:rsidP="002E1D7E">
            <w:pPr>
              <w:jc w:val="center"/>
              <w:rPr>
                <w:b/>
                <w:color w:val="000000"/>
              </w:rPr>
            </w:pPr>
            <w:r>
              <w:rPr>
                <w:b/>
                <w:color w:val="000000"/>
              </w:rPr>
              <w:t>BA</w:t>
            </w:r>
          </w:p>
        </w:tc>
        <w:tc>
          <w:tcPr>
            <w:tcW w:w="810" w:type="dxa"/>
          </w:tcPr>
          <w:p w14:paraId="15CC3A6D" w14:textId="77777777" w:rsidR="002E1D7E" w:rsidRDefault="002E1D7E" w:rsidP="002E1D7E">
            <w:pPr>
              <w:jc w:val="center"/>
              <w:rPr>
                <w:b/>
                <w:color w:val="000000"/>
              </w:rPr>
            </w:pPr>
            <w:r>
              <w:rPr>
                <w:b/>
                <w:color w:val="000000"/>
              </w:rPr>
              <w:t>BS</w:t>
            </w:r>
          </w:p>
        </w:tc>
      </w:tr>
      <w:tr w:rsidR="002E1D7E" w14:paraId="7008371A" w14:textId="77777777" w:rsidTr="002E1D7E">
        <w:tc>
          <w:tcPr>
            <w:tcW w:w="4855" w:type="dxa"/>
          </w:tcPr>
          <w:p w14:paraId="7108D7F2" w14:textId="77777777" w:rsidR="002E1D7E" w:rsidRDefault="002E1D7E" w:rsidP="002E1D7E">
            <w:pPr>
              <w:rPr>
                <w:b/>
                <w:color w:val="000000"/>
              </w:rPr>
            </w:pPr>
            <w:r>
              <w:rPr>
                <w:b/>
                <w:color w:val="000000"/>
              </w:rPr>
              <w:t>Total Units</w:t>
            </w:r>
          </w:p>
        </w:tc>
        <w:tc>
          <w:tcPr>
            <w:tcW w:w="990" w:type="dxa"/>
          </w:tcPr>
          <w:p w14:paraId="7B51615C" w14:textId="77777777" w:rsidR="002E1D7E" w:rsidRDefault="002E1D7E" w:rsidP="002E1D7E">
            <w:pPr>
              <w:jc w:val="center"/>
              <w:rPr>
                <w:b/>
                <w:color w:val="000000"/>
              </w:rPr>
            </w:pPr>
          </w:p>
        </w:tc>
        <w:tc>
          <w:tcPr>
            <w:tcW w:w="882" w:type="dxa"/>
          </w:tcPr>
          <w:p w14:paraId="7C110FC3" w14:textId="77777777" w:rsidR="002E1D7E" w:rsidRDefault="002E1D7E" w:rsidP="002E1D7E">
            <w:pPr>
              <w:jc w:val="center"/>
              <w:rPr>
                <w:b/>
                <w:color w:val="000000"/>
              </w:rPr>
            </w:pPr>
            <w:r>
              <w:rPr>
                <w:b/>
                <w:color w:val="000000"/>
              </w:rPr>
              <w:t>120</w:t>
            </w:r>
          </w:p>
        </w:tc>
        <w:tc>
          <w:tcPr>
            <w:tcW w:w="810" w:type="dxa"/>
          </w:tcPr>
          <w:p w14:paraId="3596AA18" w14:textId="77777777" w:rsidR="002E1D7E" w:rsidRDefault="002E1D7E" w:rsidP="002E1D7E">
            <w:pPr>
              <w:jc w:val="center"/>
              <w:rPr>
                <w:b/>
                <w:color w:val="000000"/>
              </w:rPr>
            </w:pPr>
            <w:r>
              <w:rPr>
                <w:b/>
                <w:color w:val="000000"/>
              </w:rPr>
              <w:t>120</w:t>
            </w:r>
          </w:p>
        </w:tc>
      </w:tr>
      <w:tr w:rsidR="002E1D7E" w14:paraId="41549B37" w14:textId="77777777" w:rsidTr="002E1D7E">
        <w:tc>
          <w:tcPr>
            <w:tcW w:w="4855" w:type="dxa"/>
          </w:tcPr>
          <w:p w14:paraId="0636DF3A" w14:textId="77777777" w:rsidR="002E1D7E" w:rsidRDefault="002E1D7E" w:rsidP="002E1D7E">
            <w:pPr>
              <w:rPr>
                <w:b/>
                <w:color w:val="000000"/>
              </w:rPr>
            </w:pPr>
            <w:r>
              <w:rPr>
                <w:b/>
                <w:color w:val="000000"/>
              </w:rPr>
              <w:t>Upper-Division</w:t>
            </w:r>
          </w:p>
        </w:tc>
        <w:tc>
          <w:tcPr>
            <w:tcW w:w="990" w:type="dxa"/>
          </w:tcPr>
          <w:p w14:paraId="021E7470" w14:textId="77777777" w:rsidR="002E1D7E" w:rsidRDefault="002E1D7E" w:rsidP="002E1D7E">
            <w:pPr>
              <w:jc w:val="center"/>
              <w:rPr>
                <w:b/>
                <w:color w:val="000000"/>
              </w:rPr>
            </w:pPr>
          </w:p>
        </w:tc>
        <w:tc>
          <w:tcPr>
            <w:tcW w:w="882" w:type="dxa"/>
          </w:tcPr>
          <w:p w14:paraId="6565A149" w14:textId="77777777" w:rsidR="002E1D7E" w:rsidRDefault="002E1D7E" w:rsidP="002E1D7E">
            <w:pPr>
              <w:jc w:val="center"/>
              <w:rPr>
                <w:b/>
                <w:color w:val="000000"/>
              </w:rPr>
            </w:pPr>
            <w:r>
              <w:rPr>
                <w:b/>
                <w:color w:val="000000"/>
              </w:rPr>
              <w:t>40</w:t>
            </w:r>
          </w:p>
        </w:tc>
        <w:tc>
          <w:tcPr>
            <w:tcW w:w="810" w:type="dxa"/>
          </w:tcPr>
          <w:p w14:paraId="06E95AFF" w14:textId="77777777" w:rsidR="002E1D7E" w:rsidRDefault="002E1D7E" w:rsidP="002E1D7E">
            <w:pPr>
              <w:jc w:val="center"/>
              <w:rPr>
                <w:b/>
                <w:color w:val="000000"/>
              </w:rPr>
            </w:pPr>
            <w:r>
              <w:rPr>
                <w:b/>
                <w:color w:val="000000"/>
              </w:rPr>
              <w:t>40</w:t>
            </w:r>
          </w:p>
        </w:tc>
      </w:tr>
      <w:tr w:rsidR="002E1D7E" w14:paraId="0F40A4FA" w14:textId="77777777" w:rsidTr="002E1D7E">
        <w:tc>
          <w:tcPr>
            <w:tcW w:w="4855" w:type="dxa"/>
          </w:tcPr>
          <w:p w14:paraId="65D357C2" w14:textId="77777777" w:rsidR="002E1D7E" w:rsidRDefault="002E1D7E" w:rsidP="002E1D7E">
            <w:pPr>
              <w:rPr>
                <w:b/>
                <w:color w:val="000000"/>
              </w:rPr>
            </w:pPr>
            <w:r>
              <w:rPr>
                <w:b/>
                <w:color w:val="000000"/>
              </w:rPr>
              <w:t>General Education</w:t>
            </w:r>
          </w:p>
        </w:tc>
        <w:tc>
          <w:tcPr>
            <w:tcW w:w="990" w:type="dxa"/>
          </w:tcPr>
          <w:p w14:paraId="77DA91F4" w14:textId="77777777" w:rsidR="002E1D7E" w:rsidRDefault="002E1D7E" w:rsidP="002E1D7E">
            <w:pPr>
              <w:jc w:val="center"/>
              <w:rPr>
                <w:b/>
                <w:color w:val="000000"/>
              </w:rPr>
            </w:pPr>
          </w:p>
        </w:tc>
        <w:tc>
          <w:tcPr>
            <w:tcW w:w="882" w:type="dxa"/>
          </w:tcPr>
          <w:p w14:paraId="171E2DBC" w14:textId="77777777" w:rsidR="002E1D7E" w:rsidRDefault="002E1D7E" w:rsidP="002E1D7E">
            <w:pPr>
              <w:jc w:val="center"/>
              <w:rPr>
                <w:b/>
                <w:color w:val="000000"/>
              </w:rPr>
            </w:pPr>
            <w:r>
              <w:rPr>
                <w:b/>
                <w:color w:val="000000"/>
              </w:rPr>
              <w:t>48</w:t>
            </w:r>
          </w:p>
        </w:tc>
        <w:tc>
          <w:tcPr>
            <w:tcW w:w="810" w:type="dxa"/>
          </w:tcPr>
          <w:p w14:paraId="7BCD54F1" w14:textId="77777777" w:rsidR="002E1D7E" w:rsidRDefault="002E1D7E" w:rsidP="002E1D7E">
            <w:pPr>
              <w:jc w:val="center"/>
              <w:rPr>
                <w:b/>
                <w:color w:val="000000"/>
              </w:rPr>
            </w:pPr>
            <w:r>
              <w:rPr>
                <w:b/>
                <w:color w:val="000000"/>
              </w:rPr>
              <w:t>48</w:t>
            </w:r>
          </w:p>
        </w:tc>
      </w:tr>
      <w:tr w:rsidR="002E1D7E" w14:paraId="1B9867DD" w14:textId="77777777" w:rsidTr="002E1D7E">
        <w:tc>
          <w:tcPr>
            <w:tcW w:w="4855" w:type="dxa"/>
          </w:tcPr>
          <w:p w14:paraId="3E05D560" w14:textId="77777777" w:rsidR="002E1D7E" w:rsidRDefault="002E1D7E" w:rsidP="002E1D7E">
            <w:pPr>
              <w:rPr>
                <w:b/>
                <w:color w:val="000000"/>
              </w:rPr>
            </w:pPr>
            <w:r>
              <w:rPr>
                <w:b/>
                <w:color w:val="000000"/>
              </w:rPr>
              <w:t>Total Units in the Major or Minor</w:t>
            </w:r>
          </w:p>
        </w:tc>
        <w:tc>
          <w:tcPr>
            <w:tcW w:w="990" w:type="dxa"/>
          </w:tcPr>
          <w:p w14:paraId="00D79374" w14:textId="77777777" w:rsidR="002E1D7E" w:rsidRDefault="002E1D7E" w:rsidP="002E1D7E">
            <w:pPr>
              <w:jc w:val="center"/>
              <w:rPr>
                <w:b/>
                <w:color w:val="000000"/>
              </w:rPr>
            </w:pPr>
            <w:r>
              <w:rPr>
                <w:b/>
                <w:color w:val="000000"/>
              </w:rPr>
              <w:t>15</w:t>
            </w:r>
          </w:p>
        </w:tc>
        <w:tc>
          <w:tcPr>
            <w:tcW w:w="882" w:type="dxa"/>
          </w:tcPr>
          <w:p w14:paraId="694078DE" w14:textId="77777777" w:rsidR="002E1D7E" w:rsidRDefault="002E1D7E" w:rsidP="002E1D7E">
            <w:pPr>
              <w:jc w:val="center"/>
              <w:rPr>
                <w:b/>
                <w:color w:val="000000"/>
              </w:rPr>
            </w:pPr>
            <w:r>
              <w:rPr>
                <w:b/>
                <w:color w:val="000000"/>
              </w:rPr>
              <w:t>24</w:t>
            </w:r>
          </w:p>
        </w:tc>
        <w:tc>
          <w:tcPr>
            <w:tcW w:w="810" w:type="dxa"/>
          </w:tcPr>
          <w:p w14:paraId="6969D189" w14:textId="77777777" w:rsidR="002E1D7E" w:rsidRDefault="002E1D7E" w:rsidP="002E1D7E">
            <w:pPr>
              <w:jc w:val="center"/>
              <w:rPr>
                <w:b/>
                <w:color w:val="000000"/>
              </w:rPr>
            </w:pPr>
            <w:r>
              <w:rPr>
                <w:b/>
                <w:color w:val="000000"/>
              </w:rPr>
              <w:t>36</w:t>
            </w:r>
          </w:p>
        </w:tc>
      </w:tr>
      <w:tr w:rsidR="002E1D7E" w14:paraId="1BBD5EE6" w14:textId="77777777" w:rsidTr="002E1D7E">
        <w:tc>
          <w:tcPr>
            <w:tcW w:w="4855" w:type="dxa"/>
          </w:tcPr>
          <w:p w14:paraId="40D53CC3" w14:textId="77777777" w:rsidR="002E1D7E" w:rsidRDefault="002E1D7E" w:rsidP="002E1D7E">
            <w:pPr>
              <w:rPr>
                <w:b/>
                <w:color w:val="000000"/>
              </w:rPr>
            </w:pPr>
            <w:r>
              <w:rPr>
                <w:b/>
                <w:color w:val="000000"/>
              </w:rPr>
              <w:t>Upper-Division Units in the Major or Minor</w:t>
            </w:r>
          </w:p>
        </w:tc>
        <w:tc>
          <w:tcPr>
            <w:tcW w:w="990" w:type="dxa"/>
          </w:tcPr>
          <w:p w14:paraId="4F88D683" w14:textId="77777777" w:rsidR="002E1D7E" w:rsidRDefault="002E1D7E" w:rsidP="002E1D7E">
            <w:pPr>
              <w:jc w:val="center"/>
              <w:rPr>
                <w:b/>
                <w:color w:val="000000"/>
              </w:rPr>
            </w:pPr>
            <w:r>
              <w:rPr>
                <w:b/>
                <w:color w:val="000000"/>
              </w:rPr>
              <w:t>6</w:t>
            </w:r>
          </w:p>
        </w:tc>
        <w:tc>
          <w:tcPr>
            <w:tcW w:w="882" w:type="dxa"/>
          </w:tcPr>
          <w:p w14:paraId="4F9A38FB" w14:textId="77777777" w:rsidR="002E1D7E" w:rsidRDefault="002E1D7E" w:rsidP="002E1D7E">
            <w:pPr>
              <w:jc w:val="center"/>
              <w:rPr>
                <w:b/>
                <w:color w:val="000000"/>
              </w:rPr>
            </w:pPr>
            <w:r>
              <w:rPr>
                <w:b/>
                <w:color w:val="000000"/>
              </w:rPr>
              <w:t>12</w:t>
            </w:r>
          </w:p>
        </w:tc>
        <w:tc>
          <w:tcPr>
            <w:tcW w:w="810" w:type="dxa"/>
          </w:tcPr>
          <w:p w14:paraId="6A88C368" w14:textId="77777777" w:rsidR="002E1D7E" w:rsidRDefault="002E1D7E" w:rsidP="002E1D7E">
            <w:pPr>
              <w:jc w:val="center"/>
              <w:rPr>
                <w:b/>
                <w:color w:val="000000"/>
              </w:rPr>
            </w:pPr>
            <w:r>
              <w:rPr>
                <w:b/>
                <w:color w:val="000000"/>
              </w:rPr>
              <w:t>18</w:t>
            </w:r>
          </w:p>
        </w:tc>
      </w:tr>
    </w:tbl>
    <w:p w14:paraId="4AEE6988" w14:textId="77777777" w:rsidR="002E1D7E" w:rsidRDefault="002E1D7E" w:rsidP="002E1D7E">
      <w:pPr>
        <w:rPr>
          <w:b/>
          <w:color w:val="000000"/>
        </w:rPr>
      </w:pPr>
    </w:p>
    <w:p w14:paraId="3753674A" w14:textId="77777777" w:rsidR="008D594F" w:rsidRDefault="008D594F" w:rsidP="002E1D7E">
      <w:pPr>
        <w:rPr>
          <w:b/>
          <w:color w:val="000000"/>
        </w:rPr>
      </w:pPr>
      <w:r>
        <w:rPr>
          <w:b/>
          <w:color w:val="000000"/>
        </w:rPr>
        <w:t>Notes:</w:t>
      </w:r>
    </w:p>
    <w:p w14:paraId="15AE5668" w14:textId="7C078F70" w:rsidR="0071275A" w:rsidRDefault="0071275A" w:rsidP="002E1D7E">
      <w:pPr>
        <w:rPr>
          <w:b/>
          <w:color w:val="000000"/>
        </w:rPr>
      </w:pPr>
      <w:r>
        <w:rPr>
          <w:b/>
          <w:color w:val="000000"/>
        </w:rPr>
        <w:t xml:space="preserve">Minors are defined in the Policy on </w:t>
      </w:r>
      <w:r w:rsidR="00B52F1B">
        <w:rPr>
          <w:b/>
          <w:color w:val="000000"/>
        </w:rPr>
        <w:t xml:space="preserve">Academic </w:t>
      </w:r>
      <w:r>
        <w:rPr>
          <w:b/>
          <w:color w:val="000000"/>
        </w:rPr>
        <w:t>Minors; upper-division general education requirements are explained in the Suggestions for General Education Policies.</w:t>
      </w:r>
    </w:p>
    <w:sectPr w:rsidR="0071275A" w:rsidSect="008D594F">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2CEB" w14:textId="77777777" w:rsidR="00B93AFA" w:rsidRDefault="00B93AFA" w:rsidP="002E1D7E">
      <w:r>
        <w:separator/>
      </w:r>
    </w:p>
  </w:endnote>
  <w:endnote w:type="continuationSeparator" w:id="0">
    <w:p w14:paraId="1BB2D50B" w14:textId="77777777" w:rsidR="00B93AFA" w:rsidRDefault="00B93AFA" w:rsidP="002E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5F5A" w14:textId="77777777" w:rsidR="008D594F" w:rsidRDefault="008D594F">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5830F" w14:textId="77777777" w:rsidR="00B93AFA" w:rsidRDefault="00B93AFA" w:rsidP="002E1D7E">
      <w:r>
        <w:separator/>
      </w:r>
    </w:p>
  </w:footnote>
  <w:footnote w:type="continuationSeparator" w:id="0">
    <w:p w14:paraId="558E4FD1" w14:textId="77777777" w:rsidR="00B93AFA" w:rsidRDefault="00B93AFA" w:rsidP="002E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4041" w14:textId="77777777" w:rsidR="008D594F" w:rsidRDefault="008D594F" w:rsidP="008D594F">
    <w:pPr>
      <w:pStyle w:val="Header"/>
      <w:ind w:firstLine="2160"/>
      <w:rPr>
        <w:color w:val="000000"/>
      </w:rPr>
    </w:pPr>
    <w:r>
      <w:rPr>
        <w:noProof/>
      </w:rPr>
      <w:drawing>
        <wp:anchor distT="0" distB="0" distL="114300" distR="114300" simplePos="0" relativeHeight="251660288" behindDoc="1" locked="0" layoutInCell="1" allowOverlap="1" wp14:anchorId="345B7064" wp14:editId="32F389D7">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300"/>
              <wp:lineTo x="21507" y="21300"/>
              <wp:lineTo x="21507" y="0"/>
              <wp:lineTo x="0" y="0"/>
            </wp:wrapPolygon>
          </wp:wrapTight>
          <wp:docPr id="2"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6"/>
      </w:rPr>
      <w:t>&lt;Senate Policy/Division&gt;</w:t>
    </w:r>
    <w:r>
      <w:rPr>
        <w:color w:val="000000"/>
      </w:rPr>
      <w:tab/>
    </w:r>
    <w:r>
      <w:rPr>
        <w:b/>
        <w:bCs/>
        <w:color w:val="000000"/>
      </w:rPr>
      <w:t>Policy Number:</w:t>
    </w:r>
    <w:r>
      <w:rPr>
        <w:color w:val="000000"/>
      </w:rPr>
      <w:t xml:space="preserve"> &lt;Office Use Only&gt;</w:t>
    </w:r>
  </w:p>
  <w:p w14:paraId="17D1D548" w14:textId="77777777" w:rsidR="008D594F" w:rsidRDefault="008D594F">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&lt;Office Use Only&gt;</w:t>
    </w:r>
    <w:r>
      <w:rPr>
        <w:color w:val="000000"/>
        <w:sz w:val="22"/>
      </w:rPr>
      <w:tab/>
    </w:r>
    <w:r>
      <w:rPr>
        <w:b/>
        <w:bCs/>
        <w:color w:val="000000"/>
        <w:sz w:val="22"/>
      </w:rPr>
      <w:t>Effective Date:</w:t>
    </w:r>
    <w:r>
      <w:rPr>
        <w:color w:val="000000"/>
        <w:sz w:val="22"/>
      </w:rPr>
      <w:t xml:space="preserve"> &lt;Office Use Only&gt;</w:t>
    </w:r>
  </w:p>
  <w:p w14:paraId="67EFF290" w14:textId="77777777" w:rsidR="008D594F" w:rsidRDefault="008D594F">
    <w:pPr>
      <w:tabs>
        <w:tab w:val="left" w:pos="1440"/>
        <w:tab w:val="left" w:pos="3600"/>
        <w:tab w:val="left" w:pos="5760"/>
      </w:tabs>
      <w:ind w:firstLine="2160"/>
      <w:rPr>
        <w:color w:val="000000"/>
        <w:sz w:val="22"/>
      </w:rPr>
    </w:pPr>
    <w:r>
      <w:rPr>
        <w:color w:val="000000"/>
        <w:sz w:val="22"/>
      </w:rPr>
      <w:tab/>
      <w:t>&lt;Office Use Only&gt;</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2C7729">
      <w:rPr>
        <w:noProof/>
        <w:color w:val="000000"/>
      </w:rPr>
      <w:t>1</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2C7729">
      <w:rPr>
        <w:noProof/>
        <w:color w:val="000000"/>
      </w:rPr>
      <w:t>1</w:t>
    </w:r>
    <w:r>
      <w:rPr>
        <w:color w:val="000000"/>
      </w:rPr>
      <w:fldChar w:fldCharType="end"/>
    </w:r>
  </w:p>
  <w:p w14:paraId="7B395C1F" w14:textId="77777777" w:rsidR="008D594F" w:rsidRDefault="008D594F">
    <w:pPr>
      <w:tabs>
        <w:tab w:val="left" w:pos="1440"/>
        <w:tab w:val="left" w:pos="3600"/>
        <w:tab w:val="left" w:pos="5760"/>
      </w:tabs>
      <w:ind w:firstLine="2160"/>
      <w:rPr>
        <w:color w:val="000000"/>
        <w:sz w:val="22"/>
      </w:rPr>
    </w:pPr>
  </w:p>
  <w:p w14:paraId="628FFAFC" w14:textId="77777777" w:rsidR="008D594F" w:rsidRDefault="008D594F">
    <w:pPr>
      <w:tabs>
        <w:tab w:val="left" w:pos="1440"/>
        <w:tab w:val="left" w:pos="3600"/>
        <w:tab w:val="left" w:pos="5760"/>
      </w:tabs>
      <w:ind w:firstLine="2160"/>
      <w:rPr>
        <w:color w:val="000000"/>
        <w:sz w:val="22"/>
      </w:rPr>
    </w:pPr>
    <w:r>
      <w:rPr>
        <w:noProof/>
      </w:rPr>
      <mc:AlternateContent>
        <mc:Choice Requires="wps">
          <w:drawing>
            <wp:anchor distT="0" distB="0" distL="114300" distR="114300" simplePos="0" relativeHeight="251659264" behindDoc="0" locked="0" layoutInCell="1" allowOverlap="1" wp14:anchorId="43FBCAF5" wp14:editId="2DA5E848">
              <wp:simplePos x="0" y="0"/>
              <wp:positionH relativeFrom="column">
                <wp:posOffset>-228600</wp:posOffset>
              </wp:positionH>
              <wp:positionV relativeFrom="paragraph">
                <wp:posOffset>73660</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50CCCC60" w14:textId="77777777" w:rsidR="008D594F" w:rsidRDefault="008D594F">
                          <w:pPr>
                            <w:pStyle w:val="Heading5"/>
                            <w:ind w:left="0"/>
                            <w:jc w:val="center"/>
                            <w:rPr>
                              <w:color w:val="000000"/>
                              <w:sz w:val="28"/>
                            </w:rPr>
                          </w:pPr>
                          <w:r>
                            <w:rPr>
                              <w:color w:val="000000"/>
                              <w:sz w:val="28"/>
                            </w:rPr>
                            <w:t>Minimum Characteristics of Majors and Minors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CAF5" id="_x0000_t202" coordsize="21600,21600" o:spt="202" path="m,l,21600r21600,l21600,xe">
              <v:stroke joinstyle="miter"/>
              <v:path gradientshapeok="t" o:connecttype="rect"/>
            </v:shapetype>
            <v:shape id="Text Box 1" o:spid="_x0000_s1026" type="#_x0000_t202" style="position:absolute;left:0;text-align:left;margin-left:-18pt;margin-top:5.8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">
              <v:textbox>
                <w:txbxContent>
                  <w:p w14:paraId="50CCCC60" w14:textId="77777777" w:rsidR="008D594F" w:rsidRDefault="008D594F">
                    <w:pPr>
                      <w:pStyle w:val="Heading5"/>
                      <w:ind w:left="0"/>
                      <w:jc w:val="center"/>
                      <w:rPr>
                        <w:color w:val="000000"/>
                        <w:sz w:val="28"/>
                      </w:rPr>
                    </w:pPr>
                    <w:r>
                      <w:rPr>
                        <w:color w:val="000000"/>
                        <w:sz w:val="28"/>
                      </w:rPr>
                      <w:t>Minimum Characteristics of Majors and Minors</w:t>
                    </w:r>
                  </w:p>
                </w:txbxContent>
              </v:textbox>
            </v:shape>
          </w:pict>
        </mc:Fallback>
      </mc:AlternateContent>
    </w:r>
  </w:p>
  <w:p w14:paraId="489C7AC6" w14:textId="77777777" w:rsidR="008D594F" w:rsidRDefault="008D594F">
    <w:pPr>
      <w:pStyle w:val="Heading4"/>
      <w:tabs>
        <w:tab w:val="left" w:pos="3780"/>
        <w:tab w:val="left" w:pos="5760"/>
      </w:tabs>
      <w:ind w:firstLine="2160"/>
      <w:rPr>
        <w:color w:val="000000"/>
        <w:sz w:val="22"/>
      </w:rPr>
    </w:pPr>
  </w:p>
  <w:p w14:paraId="361EE6FB" w14:textId="77777777" w:rsidR="008D594F" w:rsidRDefault="008D594F">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A5B87"/>
    <w:multiLevelType w:val="hybridMultilevel"/>
    <w:tmpl w:val="1174E3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233E2C"/>
    <w:multiLevelType w:val="hybridMultilevel"/>
    <w:tmpl w:val="B30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C2303"/>
    <w:multiLevelType w:val="hybridMultilevel"/>
    <w:tmpl w:val="1EC6F33C"/>
    <w:lvl w:ilvl="0" w:tplc="3D4E28A8">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7E"/>
    <w:rsid w:val="000A073F"/>
    <w:rsid w:val="00283A26"/>
    <w:rsid w:val="002C7729"/>
    <w:rsid w:val="002E1D7E"/>
    <w:rsid w:val="0071275A"/>
    <w:rsid w:val="007602C3"/>
    <w:rsid w:val="0083434C"/>
    <w:rsid w:val="008D594F"/>
    <w:rsid w:val="009A3DF5"/>
    <w:rsid w:val="00AC55D7"/>
    <w:rsid w:val="00B52F1B"/>
    <w:rsid w:val="00B93AFA"/>
    <w:rsid w:val="00CA53AB"/>
    <w:rsid w:val="00F7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18D2B"/>
  <w15:docId w15:val="{80021D4E-F811-46D4-9C74-A90C0282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E1D7E"/>
    <w:pPr>
      <w:keepNext/>
      <w:jc w:val="center"/>
      <w:outlineLvl w:val="3"/>
    </w:pPr>
    <w:rPr>
      <w:i/>
      <w:iCs/>
    </w:rPr>
  </w:style>
  <w:style w:type="paragraph" w:styleId="Heading5">
    <w:name w:val="heading 5"/>
    <w:basedOn w:val="Normal"/>
    <w:next w:val="Normal"/>
    <w:link w:val="Heading5Char"/>
    <w:qFormat/>
    <w:rsid w:val="002E1D7E"/>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1D7E"/>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2E1D7E"/>
    <w:rPr>
      <w:rFonts w:ascii="Times New Roman" w:eastAsia="Times New Roman" w:hAnsi="Times New Roman" w:cs="Times New Roman"/>
      <w:b/>
      <w:bCs/>
      <w:sz w:val="24"/>
      <w:szCs w:val="24"/>
    </w:rPr>
  </w:style>
  <w:style w:type="paragraph" w:styleId="Header">
    <w:name w:val="header"/>
    <w:basedOn w:val="Normal"/>
    <w:link w:val="HeaderChar"/>
    <w:rsid w:val="002E1D7E"/>
    <w:pPr>
      <w:tabs>
        <w:tab w:val="center" w:pos="4320"/>
        <w:tab w:val="right" w:pos="8640"/>
      </w:tabs>
    </w:pPr>
  </w:style>
  <w:style w:type="character" w:customStyle="1" w:styleId="HeaderChar">
    <w:name w:val="Header Char"/>
    <w:basedOn w:val="DefaultParagraphFont"/>
    <w:link w:val="Header"/>
    <w:rsid w:val="002E1D7E"/>
    <w:rPr>
      <w:rFonts w:ascii="Times New Roman" w:eastAsia="Times New Roman" w:hAnsi="Times New Roman" w:cs="Times New Roman"/>
      <w:sz w:val="24"/>
      <w:szCs w:val="24"/>
    </w:rPr>
  </w:style>
  <w:style w:type="paragraph" w:styleId="Footer">
    <w:name w:val="footer"/>
    <w:basedOn w:val="Normal"/>
    <w:link w:val="FooterChar"/>
    <w:rsid w:val="002E1D7E"/>
    <w:pPr>
      <w:tabs>
        <w:tab w:val="center" w:pos="4320"/>
        <w:tab w:val="right" w:pos="8640"/>
      </w:tabs>
    </w:pPr>
  </w:style>
  <w:style w:type="character" w:customStyle="1" w:styleId="FooterChar">
    <w:name w:val="Footer Char"/>
    <w:basedOn w:val="DefaultParagraphFont"/>
    <w:link w:val="Footer"/>
    <w:rsid w:val="002E1D7E"/>
    <w:rPr>
      <w:rFonts w:ascii="Times New Roman" w:eastAsia="Times New Roman" w:hAnsi="Times New Roman" w:cs="Times New Roman"/>
      <w:sz w:val="24"/>
      <w:szCs w:val="24"/>
    </w:rPr>
  </w:style>
  <w:style w:type="table" w:styleId="TableGrid">
    <w:name w:val="Table Grid"/>
    <w:basedOn w:val="TableNormal"/>
    <w:uiPriority w:val="39"/>
    <w:rsid w:val="002E1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2E1D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Jared</dc:creator>
  <cp:keywords/>
  <dc:description/>
  <cp:lastModifiedBy>Daniels, David</cp:lastModifiedBy>
  <cp:revision>2</cp:revision>
  <dcterms:created xsi:type="dcterms:W3CDTF">2016-03-16T20:13:00Z</dcterms:created>
  <dcterms:modified xsi:type="dcterms:W3CDTF">2016-03-16T20:13:00Z</dcterms:modified>
</cp:coreProperties>
</file>