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21E94" w14:textId="77777777" w:rsidR="00AC48F1" w:rsidRDefault="00AC48F1" w:rsidP="00AC48F1">
      <w:pPr>
        <w:tabs>
          <w:tab w:val="left" w:pos="5970"/>
        </w:tabs>
        <w:rPr>
          <w:b/>
          <w:color w:val="000000"/>
        </w:rPr>
      </w:pPr>
    </w:p>
    <w:p w14:paraId="11DE39D1" w14:textId="77777777" w:rsidR="00F95A7B" w:rsidRPr="00F95A7B" w:rsidRDefault="00F95A7B" w:rsidP="00CF4E7C">
      <w:pPr>
        <w:tabs>
          <w:tab w:val="left" w:pos="5970"/>
        </w:tabs>
        <w:ind w:left="-360"/>
        <w:rPr>
          <w:color w:val="000000"/>
        </w:rPr>
      </w:pPr>
      <w:r>
        <w:rPr>
          <w:b/>
          <w:color w:val="000000"/>
        </w:rPr>
        <w:t xml:space="preserve">DRAFTED BY:  </w:t>
      </w:r>
      <w:r>
        <w:rPr>
          <w:color w:val="000000"/>
        </w:rPr>
        <w:t xml:space="preserve">Student Academic Policies and Procedures:  Sean Carswell, Colleen Forest, Ernesto Guerrero, </w:t>
      </w:r>
      <w:proofErr w:type="spellStart"/>
      <w:r>
        <w:rPr>
          <w:color w:val="000000"/>
        </w:rPr>
        <w:t>Tiina</w:t>
      </w:r>
      <w:proofErr w:type="spellEnd"/>
      <w:r>
        <w:rPr>
          <w:color w:val="000000"/>
        </w:rPr>
        <w:t xml:space="preserve"> </w:t>
      </w:r>
      <w:proofErr w:type="spellStart"/>
      <w:r>
        <w:rPr>
          <w:color w:val="000000"/>
        </w:rPr>
        <w:t>Itkonen</w:t>
      </w:r>
      <w:proofErr w:type="spellEnd"/>
      <w:r>
        <w:rPr>
          <w:color w:val="000000"/>
        </w:rPr>
        <w:t xml:space="preserve"> (co-Chair), Paul Murphy (co-Chair), Christina Smith, Brian </w:t>
      </w:r>
      <w:proofErr w:type="spellStart"/>
      <w:r>
        <w:rPr>
          <w:color w:val="000000"/>
        </w:rPr>
        <w:t>Thoms</w:t>
      </w:r>
      <w:proofErr w:type="spellEnd"/>
    </w:p>
    <w:p w14:paraId="155CC904" w14:textId="77777777" w:rsidR="00F95A7B" w:rsidRDefault="00F95A7B" w:rsidP="00CF4E7C">
      <w:pPr>
        <w:tabs>
          <w:tab w:val="left" w:pos="5970"/>
        </w:tabs>
        <w:ind w:left="-360"/>
        <w:rPr>
          <w:b/>
          <w:color w:val="000000"/>
        </w:rPr>
      </w:pPr>
    </w:p>
    <w:p w14:paraId="239859E0" w14:textId="77777777" w:rsidR="00D67A2B" w:rsidRDefault="00466592" w:rsidP="00D67A2B">
      <w:pPr>
        <w:tabs>
          <w:tab w:val="left" w:pos="5970"/>
        </w:tabs>
        <w:ind w:left="-360"/>
        <w:rPr>
          <w:bCs/>
          <w:color w:val="000000"/>
        </w:rPr>
      </w:pPr>
      <w:r>
        <w:rPr>
          <w:b/>
          <w:color w:val="000000"/>
        </w:rPr>
        <w:t>PURPOSE</w:t>
      </w:r>
      <w:r w:rsidR="00D67A2B">
        <w:rPr>
          <w:b/>
          <w:color w:val="000000"/>
        </w:rPr>
        <w:t xml:space="preserve">: </w:t>
      </w:r>
      <w:bookmarkStart w:id="0" w:name="_GoBack"/>
      <w:bookmarkEnd w:id="0"/>
      <w:r w:rsidR="00CF4E7C">
        <w:rPr>
          <w:b/>
          <w:color w:val="000000"/>
        </w:rPr>
        <w:br/>
      </w:r>
      <w:r w:rsidR="00721C55">
        <w:rPr>
          <w:bCs/>
          <w:color w:val="000000"/>
        </w:rPr>
        <w:t>Revision of policy on disqualification (SP 14-09) to align the language of our campus policy to CSU Executive Order 1038.</w:t>
      </w:r>
      <w:r w:rsidR="002A3591">
        <w:rPr>
          <w:bCs/>
          <w:color w:val="000000"/>
        </w:rPr>
        <w:t xml:space="preserve">  Current</w:t>
      </w:r>
      <w:r w:rsidR="00F95A7B">
        <w:rPr>
          <w:bCs/>
          <w:color w:val="000000"/>
        </w:rPr>
        <w:t xml:space="preserve"> campus</w:t>
      </w:r>
      <w:r w:rsidR="002A3591">
        <w:rPr>
          <w:bCs/>
          <w:color w:val="000000"/>
        </w:rPr>
        <w:t xml:space="preserve"> policy on disqualification</w:t>
      </w:r>
      <w:r w:rsidR="00F95A7B">
        <w:rPr>
          <w:bCs/>
          <w:color w:val="000000"/>
        </w:rPr>
        <w:t xml:space="preserve"> (SP 14-09) states a student</w:t>
      </w:r>
      <w:r w:rsidR="002A3591">
        <w:rPr>
          <w:bCs/>
          <w:color w:val="000000"/>
        </w:rPr>
        <w:t xml:space="preserve"> </w:t>
      </w:r>
      <w:r w:rsidR="002A3591" w:rsidRPr="002A3591">
        <w:rPr>
          <w:bCs/>
          <w:i/>
          <w:color w:val="000000"/>
        </w:rPr>
        <w:t>will be</w:t>
      </w:r>
      <w:r w:rsidR="002A3591">
        <w:rPr>
          <w:bCs/>
          <w:color w:val="000000"/>
        </w:rPr>
        <w:t xml:space="preserve"> academically disqualified when the student’s GPA in all units attempted or in all units attempted at CI falls below the GPA cutoff for each student level.  This revision will change the language to state that students will be </w:t>
      </w:r>
      <w:r w:rsidR="002A3591" w:rsidRPr="002A3591">
        <w:rPr>
          <w:bCs/>
          <w:i/>
          <w:color w:val="000000"/>
        </w:rPr>
        <w:t>subject to</w:t>
      </w:r>
      <w:r w:rsidR="002A3591">
        <w:rPr>
          <w:bCs/>
          <w:color w:val="000000"/>
        </w:rPr>
        <w:t xml:space="preserve"> academic disqualification if t</w:t>
      </w:r>
      <w:r w:rsidR="004F3E61">
        <w:rPr>
          <w:bCs/>
          <w:color w:val="000000"/>
        </w:rPr>
        <w:t xml:space="preserve">hey fall below the GPA cutoff and allow the flexibility to continue students on academic probation if they have shown significant improvement in GPA during their disqualification term.  </w:t>
      </w:r>
    </w:p>
    <w:p w14:paraId="789AB666" w14:textId="77777777" w:rsidR="002D0F8B" w:rsidRDefault="002D0F8B" w:rsidP="00D67A2B">
      <w:pPr>
        <w:tabs>
          <w:tab w:val="left" w:pos="5970"/>
        </w:tabs>
        <w:ind w:left="-360"/>
        <w:rPr>
          <w:bCs/>
          <w:color w:val="000000"/>
        </w:rPr>
      </w:pPr>
    </w:p>
    <w:p w14:paraId="26BC9B6D" w14:textId="77777777" w:rsidR="00D67A2B" w:rsidRDefault="00D67A2B" w:rsidP="00D67A2B">
      <w:pPr>
        <w:ind w:left="-360"/>
        <w:rPr>
          <w:bCs/>
          <w:color w:val="000000"/>
        </w:rPr>
      </w:pPr>
    </w:p>
    <w:p w14:paraId="2CA36F27" w14:textId="77777777" w:rsidR="00D67A2B" w:rsidRDefault="00466592" w:rsidP="00D67A2B">
      <w:pPr>
        <w:ind w:left="-360"/>
        <w:rPr>
          <w:b/>
          <w:color w:val="000000"/>
        </w:rPr>
      </w:pPr>
      <w:r>
        <w:rPr>
          <w:b/>
          <w:color w:val="000000"/>
        </w:rPr>
        <w:t>BACKGROUND</w:t>
      </w:r>
      <w:r w:rsidR="00D67A2B">
        <w:rPr>
          <w:b/>
          <w:color w:val="000000"/>
        </w:rPr>
        <w:t xml:space="preserve">: </w:t>
      </w:r>
    </w:p>
    <w:p w14:paraId="14EBFABF" w14:textId="77777777" w:rsidR="00FD0F89" w:rsidRPr="00FD0F89" w:rsidRDefault="00FD0F89" w:rsidP="00D67A2B">
      <w:pPr>
        <w:ind w:left="-360"/>
        <w:rPr>
          <w:bCs/>
          <w:color w:val="000000"/>
        </w:rPr>
      </w:pPr>
      <w:r>
        <w:rPr>
          <w:color w:val="000000"/>
        </w:rPr>
        <w:t xml:space="preserve">Every semester there are students who are automatically disqualified </w:t>
      </w:r>
      <w:r w:rsidR="009B0C56">
        <w:rPr>
          <w:color w:val="000000"/>
        </w:rPr>
        <w:t xml:space="preserve">even </w:t>
      </w:r>
      <w:r>
        <w:rPr>
          <w:color w:val="000000"/>
        </w:rPr>
        <w:t xml:space="preserve">though they have made significant improvement in GPA during their disqualification term.  This usually occurs to first time freshman </w:t>
      </w:r>
      <w:r w:rsidR="00F95A7B">
        <w:rPr>
          <w:color w:val="000000"/>
        </w:rPr>
        <w:t xml:space="preserve">or new transfer students </w:t>
      </w:r>
      <w:r>
        <w:rPr>
          <w:color w:val="000000"/>
        </w:rPr>
        <w:t>who do poorly in the first semester, make significant improvement the second semester, but mathematically c</w:t>
      </w:r>
      <w:r w:rsidR="008428FD">
        <w:rPr>
          <w:color w:val="000000"/>
        </w:rPr>
        <w:t>annot reach the cutoff</w:t>
      </w:r>
      <w:r w:rsidR="004F3E61">
        <w:rPr>
          <w:color w:val="000000"/>
        </w:rPr>
        <w:t xml:space="preserve"> GPA.  </w:t>
      </w:r>
    </w:p>
    <w:p w14:paraId="3BFF211E" w14:textId="77777777" w:rsidR="00466592" w:rsidRDefault="00466592" w:rsidP="00D67A2B">
      <w:pPr>
        <w:ind w:left="-360"/>
        <w:rPr>
          <w:b/>
          <w:bCs/>
          <w:color w:val="000000"/>
        </w:rPr>
      </w:pPr>
    </w:p>
    <w:p w14:paraId="45A64A6C" w14:textId="77777777" w:rsidR="00D67A2B" w:rsidRPr="00FD0F89" w:rsidRDefault="00466592" w:rsidP="00FD0F89">
      <w:pPr>
        <w:ind w:left="-360"/>
        <w:rPr>
          <w:b/>
          <w:bCs/>
          <w:color w:val="000000"/>
        </w:rPr>
      </w:pPr>
      <w:r w:rsidRPr="00466592">
        <w:rPr>
          <w:b/>
          <w:bCs/>
          <w:color w:val="000000"/>
        </w:rPr>
        <w:t>POLICY:</w:t>
      </w:r>
      <w:r w:rsidR="00624511">
        <w:rPr>
          <w:bCs/>
          <w:color w:val="000000"/>
        </w:rPr>
        <w:tab/>
      </w:r>
    </w:p>
    <w:p w14:paraId="1781F8DD" w14:textId="77777777" w:rsidR="00D67A2B" w:rsidRDefault="00D67A2B" w:rsidP="00D67A2B">
      <w:pPr>
        <w:ind w:left="-360"/>
        <w:rPr>
          <w:bCs/>
          <w:color w:val="000000"/>
        </w:rPr>
      </w:pPr>
    </w:p>
    <w:p w14:paraId="20A5F97A" w14:textId="1A6090B8" w:rsidR="00ED7DE9" w:rsidRPr="00ED7DE9" w:rsidRDefault="00ED7DE9" w:rsidP="00ED7DE9">
      <w:pPr>
        <w:tabs>
          <w:tab w:val="left" w:pos="5970"/>
        </w:tabs>
        <w:ind w:left="-360"/>
        <w:rPr>
          <w:bCs/>
        </w:rPr>
      </w:pPr>
      <w:r>
        <w:rPr>
          <w:b/>
          <w:color w:val="000000"/>
        </w:rPr>
        <w:t xml:space="preserve">Accountability: </w:t>
      </w:r>
      <w:r>
        <w:rPr>
          <w:b/>
          <w:color w:val="000000"/>
        </w:rPr>
        <w:br/>
      </w:r>
      <w:r w:rsidRPr="00ED7DE9">
        <w:t>Academic Appeals Board create</w:t>
      </w:r>
      <w:r>
        <w:t>s</w:t>
      </w:r>
      <w:r w:rsidRPr="00ED7DE9">
        <w:t xml:space="preserve"> the standards that determine which students would not automatically be disqualified.  Records and Registration apply these standards.</w:t>
      </w:r>
    </w:p>
    <w:p w14:paraId="76D0A694" w14:textId="059C9CB1" w:rsidR="00ED7DE9" w:rsidRDefault="00ED7DE9" w:rsidP="00ED7DE9">
      <w:pPr>
        <w:tabs>
          <w:tab w:val="left" w:pos="7080"/>
        </w:tabs>
        <w:rPr>
          <w:bCs/>
          <w:color w:val="000000"/>
        </w:rPr>
      </w:pPr>
    </w:p>
    <w:p w14:paraId="7034F1C7" w14:textId="77777777" w:rsidR="00D67A2B" w:rsidRPr="00FD0F89" w:rsidRDefault="00D67A2B" w:rsidP="00FD0F89">
      <w:pPr>
        <w:ind w:left="-360"/>
        <w:rPr>
          <w:bCs/>
          <w:color w:val="000000"/>
        </w:rPr>
      </w:pPr>
      <w:r>
        <w:rPr>
          <w:b/>
          <w:color w:val="000000"/>
        </w:rPr>
        <w:t xml:space="preserve">Applicability: </w:t>
      </w:r>
      <w:r w:rsidR="00CF4E7C">
        <w:rPr>
          <w:b/>
          <w:color w:val="000000"/>
        </w:rPr>
        <w:br/>
      </w:r>
      <w:r w:rsidR="00F34A4A">
        <w:rPr>
          <w:bCs/>
          <w:color w:val="000000"/>
        </w:rPr>
        <w:t xml:space="preserve">All CSU Channel Islands undergraduate, second baccalaureate, and conditional classified and classified graduate students.  </w:t>
      </w:r>
    </w:p>
    <w:p w14:paraId="3A2C41AD" w14:textId="77777777" w:rsidR="00D67A2B" w:rsidRDefault="00D67A2B" w:rsidP="00D67A2B">
      <w:pPr>
        <w:ind w:left="-360"/>
        <w:rPr>
          <w:b/>
          <w:color w:val="000000"/>
        </w:rPr>
      </w:pPr>
    </w:p>
    <w:p w14:paraId="4EE0505B" w14:textId="77777777" w:rsidR="00F34A4A" w:rsidRDefault="00CF4E7C" w:rsidP="00F34A4A">
      <w:pPr>
        <w:pStyle w:val="Default"/>
        <w:ind w:left="-360"/>
      </w:pPr>
      <w:r>
        <w:rPr>
          <w:b/>
        </w:rPr>
        <w:t xml:space="preserve">Policy </w:t>
      </w:r>
      <w:r w:rsidR="00466592">
        <w:rPr>
          <w:b/>
        </w:rPr>
        <w:t>Text</w:t>
      </w:r>
      <w:r w:rsidR="00D67A2B">
        <w:rPr>
          <w:b/>
        </w:rPr>
        <w:t xml:space="preserve">: </w:t>
      </w:r>
    </w:p>
    <w:p w14:paraId="0E7789FB" w14:textId="77777777" w:rsidR="00F34A4A" w:rsidRDefault="00F34A4A" w:rsidP="00320FC8">
      <w:pPr>
        <w:pStyle w:val="Default"/>
        <w:ind w:left="-360"/>
        <w:rPr>
          <w:sz w:val="23"/>
          <w:szCs w:val="23"/>
        </w:rPr>
      </w:pPr>
      <w:r>
        <w:rPr>
          <w:sz w:val="23"/>
          <w:szCs w:val="23"/>
        </w:rPr>
        <w:t xml:space="preserve">An undergraduate student on academic probation during the current semester or any preceding semester at CSUCI will be subject to academic disqualification when the student’s GPA in all units attempted or in all units attempted at CSUCI falls below the following: as a freshman, 1.50; as a sophomore, 1.70; as a junior,1.85; as a senior, 1.95. </w:t>
      </w:r>
    </w:p>
    <w:p w14:paraId="1AF50A46" w14:textId="77777777" w:rsidR="00F34A4A" w:rsidRDefault="00F34A4A" w:rsidP="00320FC8">
      <w:pPr>
        <w:pStyle w:val="Default"/>
        <w:ind w:left="-360"/>
        <w:rPr>
          <w:sz w:val="23"/>
          <w:szCs w:val="23"/>
        </w:rPr>
      </w:pPr>
    </w:p>
    <w:p w14:paraId="4597D9B9" w14:textId="77777777" w:rsidR="00F34A4A" w:rsidRDefault="00F34A4A" w:rsidP="00320FC8">
      <w:pPr>
        <w:pStyle w:val="Default"/>
        <w:ind w:left="-360"/>
        <w:rPr>
          <w:sz w:val="23"/>
          <w:szCs w:val="23"/>
        </w:rPr>
      </w:pPr>
      <w:r>
        <w:rPr>
          <w:sz w:val="23"/>
          <w:szCs w:val="23"/>
        </w:rPr>
        <w:lastRenderedPageBreak/>
        <w:t xml:space="preserve">A student seeking a second baccalaureate will be subject to academic disqualification when the student’s GPA after twelve attempted units at CSUCI falls below 2.0. </w:t>
      </w:r>
    </w:p>
    <w:p w14:paraId="6D88742F" w14:textId="77777777" w:rsidR="00F95A7B" w:rsidRDefault="00F95A7B" w:rsidP="00320FC8">
      <w:pPr>
        <w:pStyle w:val="Default"/>
        <w:ind w:left="-360"/>
        <w:rPr>
          <w:sz w:val="23"/>
          <w:szCs w:val="23"/>
        </w:rPr>
      </w:pPr>
    </w:p>
    <w:p w14:paraId="26DE1115" w14:textId="77777777" w:rsidR="00F34A4A" w:rsidRDefault="00F34A4A" w:rsidP="00320FC8">
      <w:pPr>
        <w:pStyle w:val="Default"/>
        <w:ind w:left="-360"/>
        <w:rPr>
          <w:sz w:val="23"/>
          <w:szCs w:val="23"/>
        </w:rPr>
      </w:pPr>
      <w:r>
        <w:rPr>
          <w:sz w:val="23"/>
          <w:szCs w:val="23"/>
        </w:rPr>
        <w:t xml:space="preserve">A conditionally classified or classified graduate student will be subject to academic disqualification when the student’s GPA in all units attempted for the current program falls below 2.5. The student’s GPA in a previous graduate program will not count toward the student’s GPA in the current program, regardless of whether that previous graduate program was at CSUCI or elsewhere. The student’s GPA in prerequisite courses taken post-baccalaureate and as a condition of the student’s admission into the program will count toward the GPA in all units attempted for the current program. </w:t>
      </w:r>
    </w:p>
    <w:p w14:paraId="30421C96" w14:textId="77777777" w:rsidR="00F34A4A" w:rsidRDefault="00F34A4A" w:rsidP="00320FC8">
      <w:pPr>
        <w:pStyle w:val="Default"/>
        <w:ind w:left="-360"/>
        <w:rPr>
          <w:sz w:val="23"/>
          <w:szCs w:val="23"/>
        </w:rPr>
      </w:pPr>
    </w:p>
    <w:p w14:paraId="734F64AE" w14:textId="77777777" w:rsidR="00F34A4A" w:rsidRDefault="00F34A4A" w:rsidP="00320FC8">
      <w:pPr>
        <w:pStyle w:val="Default"/>
        <w:ind w:left="-360"/>
        <w:rPr>
          <w:sz w:val="23"/>
          <w:szCs w:val="23"/>
        </w:rPr>
      </w:pPr>
      <w:r>
        <w:rPr>
          <w:sz w:val="23"/>
          <w:szCs w:val="23"/>
        </w:rPr>
        <w:t xml:space="preserve">All students’ records will be evaluated for disqualification at the end of each semester. Students cannot be placed on probation for the first time at CSUCI and be disqualified in the same semester. However, students who have previously been on probation at CSUCI and fall below the GPA listed above will be subject to academic disqualification, even if the probation and disqualification semesters are non-consecutive. </w:t>
      </w:r>
    </w:p>
    <w:p w14:paraId="47D65E46" w14:textId="77777777" w:rsidR="00F34A4A" w:rsidRDefault="00F34A4A" w:rsidP="00320FC8">
      <w:pPr>
        <w:pStyle w:val="Default"/>
        <w:ind w:left="-360"/>
        <w:rPr>
          <w:sz w:val="23"/>
          <w:szCs w:val="23"/>
        </w:rPr>
      </w:pPr>
    </w:p>
    <w:p w14:paraId="05EB6F09" w14:textId="77777777" w:rsidR="00D67A2B" w:rsidRDefault="00F34A4A" w:rsidP="00F75B5A">
      <w:pPr>
        <w:pStyle w:val="Default"/>
        <w:ind w:left="-360"/>
        <w:rPr>
          <w:sz w:val="23"/>
          <w:szCs w:val="23"/>
        </w:rPr>
      </w:pPr>
      <w:r>
        <w:rPr>
          <w:sz w:val="23"/>
          <w:szCs w:val="23"/>
        </w:rPr>
        <w:t>A student may appeal disqualification no later than the Academic Appeals Board deadline before the start of the semester following the disqualification. Appeals should be made to the Office of the Provost or Designee. Appeals will be decided by the Academic Appeals Board. Typical grounds for a successful appeal include significant improvement towards meeting the GPA requirements and/or extraordinary circumstances beyond the student’s control, as determined by the Academic Appeals Board. A successful petition of appeal for disqualification will result in the student remaining on academic probation. Students who appeal unsuccessfully will need to apply for reinstatement as specified in the Policy on Reinstatement if they wish to continue at CSUCI</w:t>
      </w:r>
      <w:r w:rsidR="00F75B5A">
        <w:rPr>
          <w:sz w:val="23"/>
          <w:szCs w:val="23"/>
        </w:rPr>
        <w:t>.</w:t>
      </w:r>
    </w:p>
    <w:p w14:paraId="340F6A50" w14:textId="77777777" w:rsidR="00F75B5A" w:rsidRDefault="00F75B5A" w:rsidP="00F75B5A">
      <w:pPr>
        <w:pStyle w:val="Default"/>
        <w:ind w:left="-360"/>
        <w:rPr>
          <w:bCs/>
          <w:sz w:val="22"/>
          <w:szCs w:val="22"/>
        </w:rPr>
      </w:pPr>
    </w:p>
    <w:p w14:paraId="4E6E41D3" w14:textId="77777777" w:rsidR="00D67A2B" w:rsidRDefault="00F95BAE" w:rsidP="00D67A2B">
      <w:pPr>
        <w:ind w:left="-360"/>
        <w:rPr>
          <w:bCs/>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320FC8">
        <w:rPr>
          <w:bCs/>
          <w:color w:val="000000"/>
        </w:rPr>
        <w:t>CSU Executive Order 1038</w:t>
      </w:r>
    </w:p>
    <w:p w14:paraId="76E00F6B" w14:textId="77777777" w:rsidR="00320FC8" w:rsidRPr="00320FC8" w:rsidRDefault="00320FC8" w:rsidP="00D67A2B">
      <w:pPr>
        <w:ind w:left="-360"/>
        <w:rPr>
          <w:bCs/>
          <w:color w:val="000000"/>
        </w:rPr>
      </w:pPr>
      <w:r>
        <w:rPr>
          <w:bCs/>
          <w:color w:val="000000"/>
        </w:rPr>
        <w:t>Title 5, Section 41300 (b)</w:t>
      </w:r>
    </w:p>
    <w:p w14:paraId="0CBC7EED" w14:textId="77777777" w:rsidR="00320FC8" w:rsidRPr="00320FC8" w:rsidRDefault="00320FC8" w:rsidP="00D67A2B">
      <w:pPr>
        <w:ind w:left="-360"/>
        <w:rPr>
          <w:color w:val="000000"/>
        </w:rPr>
      </w:pPr>
    </w:p>
    <w:p w14:paraId="365DF1BC" w14:textId="77777777" w:rsidR="00D67A2B" w:rsidRDefault="00D67A2B" w:rsidP="00D67A2B">
      <w:pPr>
        <w:ind w:left="-360"/>
        <w:rPr>
          <w:color w:val="000000"/>
        </w:rPr>
      </w:pPr>
    </w:p>
    <w:p w14:paraId="4D0F9682" w14:textId="77777777" w:rsidR="009E6522" w:rsidRDefault="009E6522">
      <w:pPr>
        <w:ind w:left="-360"/>
        <w:rPr>
          <w:color w:val="000000"/>
        </w:rPr>
      </w:pPr>
    </w:p>
    <w:p w14:paraId="6A0DD191" w14:textId="77777777" w:rsidR="009E6522" w:rsidRDefault="009E6522">
      <w:pPr>
        <w:ind w:left="-360"/>
        <w:rPr>
          <w:color w:val="000000"/>
        </w:rPr>
      </w:pPr>
    </w:p>
    <w:p w14:paraId="2F2D876F" w14:textId="77777777" w:rsidR="009E6522" w:rsidRDefault="009E6522" w:rsidP="00FF67A3">
      <w:pPr>
        <w:rPr>
          <w:color w:val="000000"/>
        </w:rPr>
      </w:pPr>
    </w:p>
    <w:p w14:paraId="00B18C6A" w14:textId="77777777" w:rsidR="009E6522" w:rsidRDefault="009E6522">
      <w:pPr>
        <w:ind w:left="-360"/>
        <w:rPr>
          <w:color w:val="000000"/>
        </w:rPr>
      </w:pPr>
    </w:p>
    <w:p w14:paraId="36645EE1" w14:textId="77777777" w:rsidR="009E6522" w:rsidRDefault="009E6522">
      <w:pPr>
        <w:ind w:left="-360"/>
        <w:rPr>
          <w:color w:val="000000"/>
        </w:rPr>
      </w:pPr>
    </w:p>
    <w:p w14:paraId="4398A333" w14:textId="77777777" w:rsidR="009E6522" w:rsidRDefault="009E6522">
      <w:pPr>
        <w:ind w:left="-360"/>
        <w:rPr>
          <w:color w:val="000000"/>
        </w:rPr>
      </w:pPr>
    </w:p>
    <w:sectPr w:rsidR="009E6522">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EB05" w14:textId="77777777" w:rsidR="00F40FEF" w:rsidRDefault="00F40FEF">
      <w:r>
        <w:separator/>
      </w:r>
    </w:p>
  </w:endnote>
  <w:endnote w:type="continuationSeparator" w:id="0">
    <w:p w14:paraId="261E0444" w14:textId="77777777" w:rsidR="00F40FEF" w:rsidRDefault="00F4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635D" w14:textId="77777777" w:rsidR="002A3591" w:rsidRDefault="002A3591">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A7BD" w14:textId="77777777" w:rsidR="00F40FEF" w:rsidRDefault="00F40FEF">
      <w:r>
        <w:separator/>
      </w:r>
    </w:p>
  </w:footnote>
  <w:footnote w:type="continuationSeparator" w:id="0">
    <w:p w14:paraId="04F698CC" w14:textId="77777777" w:rsidR="00F40FEF" w:rsidRDefault="00F4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68FA" w14:textId="3F5F55AB" w:rsidR="00AC48F1" w:rsidRPr="00B56E65" w:rsidRDefault="00EA1D88" w:rsidP="00B56E65">
    <w:pPr>
      <w:pStyle w:val="Header"/>
      <w:rPr>
        <w:color w:val="000000"/>
      </w:rPr>
    </w:pPr>
    <w:r>
      <w:rPr>
        <w:noProof/>
      </w:rPr>
      <w:drawing>
        <wp:anchor distT="0" distB="0" distL="114300" distR="114300" simplePos="0" relativeHeight="251668480" behindDoc="1" locked="0" layoutInCell="1" allowOverlap="1" wp14:anchorId="60FE7885" wp14:editId="12C7DFBC">
          <wp:simplePos x="0" y="0"/>
          <wp:positionH relativeFrom="margin">
            <wp:align>left</wp:align>
          </wp:positionH>
          <wp:positionV relativeFrom="paragraph">
            <wp:posOffset>-7620</wp:posOffset>
          </wp:positionV>
          <wp:extent cx="5791200" cy="1134745"/>
          <wp:effectExtent l="0" t="0" r="0" b="8255"/>
          <wp:wrapTight wrapText="bothSides">
            <wp:wrapPolygon edited="0">
              <wp:start x="0" y="0"/>
              <wp:lineTo x="0" y="21395"/>
              <wp:lineTo x="21529" y="21395"/>
              <wp:lineTo x="21529"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9455" cy="1138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F5604" w14:textId="4D6B2CCB" w:rsidR="002A3591" w:rsidRDefault="004C0898">
    <w:pPr>
      <w:pStyle w:val="BodyText"/>
      <w:tabs>
        <w:tab w:val="left" w:pos="1620"/>
        <w:tab w:val="left" w:pos="5760"/>
      </w:tabs>
      <w:ind w:firstLine="2160"/>
      <w:rPr>
        <w:color w:val="000000"/>
      </w:rPr>
    </w:pPr>
    <w:r>
      <w:rPr>
        <w:b/>
        <w:bCs/>
        <w:color w:val="000000"/>
        <w:sz w:val="26"/>
      </w:rPr>
      <w:t>Division of Academic Affairs</w:t>
    </w:r>
    <w:r w:rsidR="002A3591">
      <w:rPr>
        <w:color w:val="000000"/>
      </w:rPr>
      <w:tab/>
    </w:r>
    <w:r w:rsidR="002A3591">
      <w:rPr>
        <w:b/>
        <w:bCs/>
        <w:color w:val="000000"/>
      </w:rPr>
      <w:t>Policy Number:</w:t>
    </w:r>
    <w:r>
      <w:rPr>
        <w:color w:val="000000"/>
      </w:rPr>
      <w:t xml:space="preserve"> SP 16-08</w:t>
    </w:r>
  </w:p>
  <w:p w14:paraId="7B23921E" w14:textId="088B0627" w:rsidR="002A3591" w:rsidRDefault="002A359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sidR="004C0898">
      <w:rPr>
        <w:color w:val="000000"/>
        <w:sz w:val="22"/>
      </w:rPr>
      <w:tab/>
      <w:t>Academic Senate</w:t>
    </w:r>
    <w:r>
      <w:rPr>
        <w:color w:val="000000"/>
        <w:sz w:val="22"/>
      </w:rPr>
      <w:tab/>
    </w:r>
    <w:r>
      <w:rPr>
        <w:b/>
        <w:bCs/>
        <w:color w:val="000000"/>
        <w:sz w:val="22"/>
      </w:rPr>
      <w:t>Effective Date:</w:t>
    </w:r>
    <w:r w:rsidR="004C0898">
      <w:rPr>
        <w:color w:val="000000"/>
        <w:sz w:val="22"/>
      </w:rPr>
      <w:t xml:space="preserve"> Fall 2017</w:t>
    </w:r>
  </w:p>
  <w:p w14:paraId="6DAD943E" w14:textId="77777777" w:rsidR="00B56E65" w:rsidRDefault="002A3591" w:rsidP="00B56E65">
    <w:pPr>
      <w:tabs>
        <w:tab w:val="left" w:pos="1440"/>
        <w:tab w:val="left" w:pos="3600"/>
        <w:tab w:val="left" w:pos="5760"/>
      </w:tabs>
      <w:ind w:firstLine="2160"/>
      <w:rPr>
        <w:color w:val="000000"/>
        <w:sz w:val="22"/>
      </w:rPr>
    </w:pPr>
    <w:r>
      <w:rPr>
        <w:color w:val="000000"/>
        <w:sz w:val="22"/>
      </w:rPr>
      <w:tab/>
      <w:t>&lt;Office Use Only&gt;</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B56E65">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B56E65">
      <w:rPr>
        <w:noProof/>
        <w:color w:val="000000"/>
      </w:rPr>
      <w:t>2</w:t>
    </w:r>
    <w:r>
      <w:rPr>
        <w:color w:val="000000"/>
      </w:rPr>
      <w:fldChar w:fldCharType="end"/>
    </w:r>
  </w:p>
  <w:p w14:paraId="6A480D64" w14:textId="371CF540" w:rsidR="002A3591" w:rsidRDefault="00AC48F1" w:rsidP="00B56E65">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6192" behindDoc="0" locked="0" layoutInCell="1" allowOverlap="1" wp14:anchorId="6434B780" wp14:editId="1BD8FF40">
              <wp:simplePos x="0" y="0"/>
              <wp:positionH relativeFrom="column">
                <wp:posOffset>-243840</wp:posOffset>
              </wp:positionH>
              <wp:positionV relativeFrom="paragraph">
                <wp:posOffset>180975</wp:posOffset>
              </wp:positionV>
              <wp:extent cx="6400800" cy="3429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5B20331C" w14:textId="77777777" w:rsidR="002A3591" w:rsidRDefault="002A3591">
                          <w:pPr>
                            <w:pStyle w:val="Heading5"/>
                            <w:ind w:left="0"/>
                            <w:jc w:val="center"/>
                            <w:rPr>
                              <w:color w:val="000000"/>
                              <w:sz w:val="28"/>
                            </w:rPr>
                          </w:pPr>
                          <w:r>
                            <w:rPr>
                              <w:color w:val="000000"/>
                              <w:sz w:val="28"/>
                            </w:rPr>
                            <w:t>Policy on Academic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4B780" id="_x0000_t202" coordsize="21600,21600" o:spt="202" path="m,l,21600r21600,l21600,xe">
              <v:stroke joinstyle="miter"/>
              <v:path gradientshapeok="t" o:connecttype="rect"/>
            </v:shapetype>
            <v:shape id="Text Box 1" o:spid="_x0000_s1026" type="#_x0000_t202" style="position:absolute;left:0;text-align:left;margin-left:-19.2pt;margin-top:14.25pt;width:7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">
              <v:textbox>
                <w:txbxContent>
                  <w:p w14:paraId="5B20331C" w14:textId="77777777" w:rsidR="002A3591" w:rsidRDefault="002A3591">
                    <w:pPr>
                      <w:pStyle w:val="Heading5"/>
                      <w:ind w:left="0"/>
                      <w:jc w:val="center"/>
                      <w:rPr>
                        <w:color w:val="000000"/>
                        <w:sz w:val="28"/>
                      </w:rPr>
                    </w:pPr>
                    <w:r>
                      <w:rPr>
                        <w:color w:val="000000"/>
                        <w:sz w:val="28"/>
                      </w:rPr>
                      <w:t>Policy on Academic Disqualification</w:t>
                    </w:r>
                  </w:p>
                </w:txbxContent>
              </v:textbox>
            </v:shape>
          </w:pict>
        </mc:Fallback>
      </mc:AlternateContent>
    </w:r>
  </w:p>
  <w:p w14:paraId="6936B574" w14:textId="1A01F2A8" w:rsidR="002A3591" w:rsidRDefault="002A3591">
    <w:pPr>
      <w:tabs>
        <w:tab w:val="left" w:pos="1440"/>
        <w:tab w:val="left" w:pos="3600"/>
        <w:tab w:val="left" w:pos="5760"/>
      </w:tabs>
      <w:ind w:firstLine="2160"/>
      <w:rPr>
        <w:color w:val="000000"/>
        <w:sz w:val="22"/>
      </w:rPr>
    </w:pPr>
  </w:p>
  <w:p w14:paraId="72DC1434" w14:textId="30EB77E6" w:rsidR="002A3591" w:rsidRDefault="002A3591">
    <w:pPr>
      <w:pStyle w:val="Heading4"/>
      <w:tabs>
        <w:tab w:val="left" w:pos="3780"/>
        <w:tab w:val="left" w:pos="5760"/>
      </w:tabs>
      <w:ind w:firstLine="2160"/>
      <w:rPr>
        <w:color w:val="000000"/>
        <w:sz w:val="22"/>
      </w:rPr>
    </w:pPr>
  </w:p>
  <w:p w14:paraId="000012C5" w14:textId="176C4E4C" w:rsidR="002A3591" w:rsidRDefault="002A3591">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977FD"/>
    <w:rsid w:val="000C2536"/>
    <w:rsid w:val="00163699"/>
    <w:rsid w:val="001F66C1"/>
    <w:rsid w:val="002A3591"/>
    <w:rsid w:val="002D0F8B"/>
    <w:rsid w:val="002D4367"/>
    <w:rsid w:val="002F4442"/>
    <w:rsid w:val="00320FC8"/>
    <w:rsid w:val="003E4D80"/>
    <w:rsid w:val="00442D6A"/>
    <w:rsid w:val="00466592"/>
    <w:rsid w:val="004B65AD"/>
    <w:rsid w:val="004C0898"/>
    <w:rsid w:val="004C2166"/>
    <w:rsid w:val="004F3E61"/>
    <w:rsid w:val="005133F7"/>
    <w:rsid w:val="00554358"/>
    <w:rsid w:val="00624511"/>
    <w:rsid w:val="006541CE"/>
    <w:rsid w:val="00687AC8"/>
    <w:rsid w:val="007161B2"/>
    <w:rsid w:val="00721C55"/>
    <w:rsid w:val="00797C0B"/>
    <w:rsid w:val="007A4CE1"/>
    <w:rsid w:val="008428FD"/>
    <w:rsid w:val="009B0C56"/>
    <w:rsid w:val="009E6522"/>
    <w:rsid w:val="00A1057B"/>
    <w:rsid w:val="00A13DA7"/>
    <w:rsid w:val="00A6081B"/>
    <w:rsid w:val="00A72BA7"/>
    <w:rsid w:val="00AC48F1"/>
    <w:rsid w:val="00B56E65"/>
    <w:rsid w:val="00B70C63"/>
    <w:rsid w:val="00C25A8F"/>
    <w:rsid w:val="00CC6D63"/>
    <w:rsid w:val="00CE15C0"/>
    <w:rsid w:val="00CF4E7C"/>
    <w:rsid w:val="00D67A2B"/>
    <w:rsid w:val="00D96F4B"/>
    <w:rsid w:val="00DC43B2"/>
    <w:rsid w:val="00DD779C"/>
    <w:rsid w:val="00E72E5F"/>
    <w:rsid w:val="00E81BBE"/>
    <w:rsid w:val="00EA1D88"/>
    <w:rsid w:val="00ED7DE9"/>
    <w:rsid w:val="00F34A4A"/>
    <w:rsid w:val="00F40FEF"/>
    <w:rsid w:val="00F50C9D"/>
    <w:rsid w:val="00F75B5A"/>
    <w:rsid w:val="00F95A7B"/>
    <w:rsid w:val="00F95BAE"/>
    <w:rsid w:val="00FD0F89"/>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634CE0"/>
  <w15:docId w15:val="{DA34D41F-6BCF-43C5-8050-5C4F58FC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customStyle="1" w:styleId="Default">
    <w:name w:val="Default"/>
    <w:rsid w:val="00F34A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05B6-BA5A-4769-9146-8EF26AD6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2</TotalTime>
  <Pages>2</Pages>
  <Words>579</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Daniels, David</cp:lastModifiedBy>
  <cp:revision>3</cp:revision>
  <cp:lastPrinted>2014-09-08T20:11:00Z</cp:lastPrinted>
  <dcterms:created xsi:type="dcterms:W3CDTF">2017-04-14T00:25:00Z</dcterms:created>
  <dcterms:modified xsi:type="dcterms:W3CDTF">2017-04-14T00:27:00Z</dcterms:modified>
</cp:coreProperties>
</file>