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7ED0A" w14:textId="77777777" w:rsidR="00D67A2B" w:rsidRDefault="00466592" w:rsidP="00CF4E7C">
      <w:pPr>
        <w:tabs>
          <w:tab w:val="left" w:pos="5970"/>
        </w:tabs>
        <w:ind w:left="-360"/>
        <w:rPr>
          <w:bCs/>
          <w:color w:val="000000"/>
        </w:rPr>
      </w:pPr>
      <w:bookmarkStart w:id="0" w:name="_GoBack"/>
      <w:bookmarkEnd w:id="0"/>
      <w:r>
        <w:rPr>
          <w:b/>
          <w:color w:val="000000"/>
        </w:rPr>
        <w:t>PURPOSE</w:t>
      </w:r>
      <w:r w:rsidR="00D67A2B">
        <w:rPr>
          <w:b/>
          <w:color w:val="000000"/>
        </w:rPr>
        <w:t xml:space="preserve">: </w:t>
      </w:r>
      <w:r w:rsidR="007B65A9">
        <w:rPr>
          <w:bCs/>
          <w:color w:val="000000"/>
        </w:rPr>
        <w:t xml:space="preserve">Move the deadline to add a class from the end of week four (4) to the end of week three (3).  This would remove the need for a paper Add Form and utilize permission numbers only during the first three weeks.  The change will finalize class rosters sooner and prevent students from attending a significant portion of the class without official </w:t>
      </w:r>
      <w:r w:rsidR="00A56F5F">
        <w:rPr>
          <w:bCs/>
          <w:color w:val="000000"/>
        </w:rPr>
        <w:t>enrollment (e.g. students who have been</w:t>
      </w:r>
      <w:r w:rsidR="007B65A9">
        <w:rPr>
          <w:bCs/>
          <w:color w:val="000000"/>
        </w:rPr>
        <w:t xml:space="preserve"> disenrolled for non-payment).  Closing registration at the end of week three will allow time to review any enrollment errors or exceptions before census reporting to the Chancellor’s office, ensuring campus enrollment numbers are accurate.  Additionally, this updated policy will define extenuating circumstances for any exceptions to the deadline and clarify that adding during this period is at instructor discretion.  </w:t>
      </w:r>
    </w:p>
    <w:p w14:paraId="688D8700" w14:textId="77777777" w:rsidR="00D67A2B" w:rsidRDefault="00D67A2B" w:rsidP="00D67A2B">
      <w:pPr>
        <w:tabs>
          <w:tab w:val="left" w:pos="5970"/>
        </w:tabs>
        <w:ind w:left="-360"/>
        <w:rPr>
          <w:bCs/>
          <w:color w:val="000000"/>
        </w:rPr>
      </w:pPr>
    </w:p>
    <w:p w14:paraId="1880FA32" w14:textId="77777777" w:rsidR="00D67A2B" w:rsidRDefault="00D67A2B" w:rsidP="00D67A2B">
      <w:pPr>
        <w:ind w:left="-360"/>
        <w:rPr>
          <w:bCs/>
          <w:color w:val="000000"/>
        </w:rPr>
      </w:pPr>
    </w:p>
    <w:p w14:paraId="270B18EC" w14:textId="77777777" w:rsidR="00D67A2B" w:rsidRDefault="00466592" w:rsidP="00D67A2B">
      <w:pPr>
        <w:ind w:left="-360"/>
        <w:rPr>
          <w:bCs/>
          <w:color w:val="000000"/>
        </w:rPr>
      </w:pPr>
      <w:r>
        <w:rPr>
          <w:b/>
          <w:color w:val="000000"/>
        </w:rPr>
        <w:t>BACKGROUND</w:t>
      </w:r>
      <w:r w:rsidR="00D67A2B">
        <w:rPr>
          <w:b/>
          <w:color w:val="000000"/>
        </w:rPr>
        <w:t xml:space="preserve">: </w:t>
      </w:r>
      <w:r w:rsidR="007B65A9">
        <w:rPr>
          <w:bCs/>
          <w:color w:val="000000"/>
        </w:rPr>
        <w:t>Replaces SP 16-01</w:t>
      </w:r>
    </w:p>
    <w:p w14:paraId="6FC7D785" w14:textId="77777777" w:rsidR="00D67A2B" w:rsidRDefault="00D67A2B" w:rsidP="00D67A2B">
      <w:pPr>
        <w:ind w:left="-360"/>
        <w:rPr>
          <w:bCs/>
          <w:color w:val="000000"/>
        </w:rPr>
      </w:pPr>
    </w:p>
    <w:p w14:paraId="60A3F596" w14:textId="77777777" w:rsidR="00466592" w:rsidRDefault="00466592" w:rsidP="00D67A2B">
      <w:pPr>
        <w:ind w:left="-360"/>
        <w:rPr>
          <w:b/>
          <w:bCs/>
          <w:color w:val="000000"/>
        </w:rPr>
      </w:pPr>
    </w:p>
    <w:p w14:paraId="0D116778" w14:textId="77777777" w:rsidR="00D67A2B" w:rsidRPr="00466592" w:rsidRDefault="00466592" w:rsidP="00D67A2B">
      <w:pPr>
        <w:ind w:left="-360"/>
        <w:rPr>
          <w:b/>
          <w:bCs/>
          <w:color w:val="000000"/>
        </w:rPr>
      </w:pPr>
      <w:r w:rsidRPr="00466592">
        <w:rPr>
          <w:b/>
          <w:bCs/>
          <w:color w:val="000000"/>
        </w:rPr>
        <w:t>POLICY:</w:t>
      </w:r>
    </w:p>
    <w:p w14:paraId="6FBB1040" w14:textId="77777777" w:rsidR="00D67A2B" w:rsidRDefault="00D67A2B" w:rsidP="00D67A2B">
      <w:pPr>
        <w:ind w:left="-360"/>
        <w:rPr>
          <w:bCs/>
          <w:color w:val="000000"/>
        </w:rPr>
      </w:pPr>
      <w:r>
        <w:rPr>
          <w:b/>
          <w:color w:val="000000"/>
        </w:rPr>
        <w:t xml:space="preserve">Accountability: </w:t>
      </w:r>
      <w:r w:rsidR="00CF4E7C">
        <w:rPr>
          <w:b/>
          <w:color w:val="000000"/>
        </w:rPr>
        <w:br/>
      </w:r>
      <w:r>
        <w:rPr>
          <w:bCs/>
          <w:color w:val="000000"/>
        </w:rPr>
        <w:t>&lt;text&gt;</w:t>
      </w:r>
    </w:p>
    <w:p w14:paraId="766B6726" w14:textId="77777777" w:rsidR="00D67A2B" w:rsidRDefault="00624511" w:rsidP="00624511">
      <w:pPr>
        <w:tabs>
          <w:tab w:val="left" w:pos="7080"/>
        </w:tabs>
        <w:ind w:left="-360"/>
        <w:rPr>
          <w:bCs/>
          <w:color w:val="000000"/>
        </w:rPr>
      </w:pPr>
      <w:r>
        <w:rPr>
          <w:bCs/>
          <w:color w:val="000000"/>
        </w:rPr>
        <w:tab/>
      </w:r>
    </w:p>
    <w:p w14:paraId="11611F68" w14:textId="77777777" w:rsidR="00D67A2B" w:rsidRDefault="00D67A2B" w:rsidP="00D67A2B">
      <w:pPr>
        <w:ind w:left="-360"/>
        <w:rPr>
          <w:bCs/>
          <w:color w:val="000000"/>
        </w:rPr>
      </w:pPr>
    </w:p>
    <w:p w14:paraId="55FEA355" w14:textId="77777777" w:rsidR="00D67A2B" w:rsidRDefault="00D67A2B" w:rsidP="00D67A2B">
      <w:pPr>
        <w:ind w:left="-360"/>
        <w:rPr>
          <w:bCs/>
          <w:color w:val="000000"/>
        </w:rPr>
      </w:pPr>
      <w:r>
        <w:rPr>
          <w:b/>
          <w:color w:val="000000"/>
        </w:rPr>
        <w:t xml:space="preserve">Applicability: </w:t>
      </w:r>
      <w:r w:rsidR="00CF4E7C">
        <w:rPr>
          <w:b/>
          <w:color w:val="000000"/>
        </w:rPr>
        <w:br/>
      </w:r>
      <w:r w:rsidR="007B65A9">
        <w:rPr>
          <w:bCs/>
          <w:color w:val="000000"/>
        </w:rPr>
        <w:t>All CSU Channel Islands students</w:t>
      </w:r>
    </w:p>
    <w:p w14:paraId="24CCE9D1" w14:textId="77777777" w:rsidR="00D67A2B" w:rsidRDefault="00D67A2B" w:rsidP="00D67A2B">
      <w:pPr>
        <w:ind w:left="-360"/>
        <w:rPr>
          <w:color w:val="000000"/>
        </w:rPr>
      </w:pPr>
    </w:p>
    <w:p w14:paraId="6432CD04" w14:textId="77777777" w:rsidR="00D67A2B" w:rsidRDefault="00D67A2B" w:rsidP="00D67A2B">
      <w:pPr>
        <w:ind w:left="-360"/>
        <w:rPr>
          <w:b/>
          <w:color w:val="000000"/>
        </w:rPr>
      </w:pPr>
    </w:p>
    <w:p w14:paraId="0BF00758" w14:textId="77777777" w:rsidR="00D67A2B" w:rsidRPr="007B65A9" w:rsidRDefault="00D67A2B" w:rsidP="007B65A9">
      <w:pPr>
        <w:tabs>
          <w:tab w:val="left" w:pos="5970"/>
        </w:tabs>
        <w:ind w:left="-360"/>
        <w:rPr>
          <w:color w:val="000000"/>
        </w:rPr>
      </w:pPr>
      <w:r w:rsidRPr="00F95BAE">
        <w:rPr>
          <w:b/>
          <w:color w:val="000000"/>
        </w:rPr>
        <w:t>Definition(s):</w:t>
      </w:r>
      <w:r>
        <w:rPr>
          <w:color w:val="000000"/>
        </w:rPr>
        <w:t xml:space="preserve"> </w:t>
      </w:r>
      <w:r w:rsidR="00CF4E7C">
        <w:rPr>
          <w:color w:val="000000"/>
        </w:rPr>
        <w:br/>
      </w:r>
      <w:r w:rsidR="007B65A9" w:rsidRPr="00F16421">
        <w:rPr>
          <w:color w:val="191919"/>
        </w:rPr>
        <w:t>For courses on a 16-week schedule, 20% and 80% of the instructional time correspond to the ends of the 3</w:t>
      </w:r>
      <w:r w:rsidR="007B65A9" w:rsidRPr="00F16421">
        <w:rPr>
          <w:color w:val="191919"/>
          <w:vertAlign w:val="superscript"/>
        </w:rPr>
        <w:t>rd</w:t>
      </w:r>
      <w:r w:rsidR="007B65A9" w:rsidRPr="00F16421">
        <w:rPr>
          <w:color w:val="191919"/>
        </w:rPr>
        <w:t xml:space="preserve"> week and the 12</w:t>
      </w:r>
      <w:r w:rsidR="007B65A9" w:rsidRPr="00F16421">
        <w:rPr>
          <w:color w:val="191919"/>
          <w:vertAlign w:val="superscript"/>
        </w:rPr>
        <w:t>th</w:t>
      </w:r>
      <w:r w:rsidR="007B65A9" w:rsidRPr="00F16421">
        <w:rPr>
          <w:color w:val="191919"/>
        </w:rPr>
        <w:t xml:space="preserve"> week of classes, respectively.</w:t>
      </w:r>
      <w:r w:rsidR="007B65A9">
        <w:rPr>
          <w:color w:val="191919"/>
        </w:rPr>
        <w:t xml:space="preserve"> </w:t>
      </w:r>
      <w:r w:rsidR="007B65A9" w:rsidRPr="00F16421">
        <w:rPr>
          <w:color w:val="191919"/>
        </w:rPr>
        <w:t>For courses on a 10-week schedule, 20% and 80% of the instructional time correspond to the ends of the 2</w:t>
      </w:r>
      <w:r w:rsidR="007B65A9" w:rsidRPr="00F16421">
        <w:rPr>
          <w:color w:val="191919"/>
          <w:vertAlign w:val="superscript"/>
        </w:rPr>
        <w:t>nd</w:t>
      </w:r>
      <w:r w:rsidR="007B65A9" w:rsidRPr="00F16421">
        <w:rPr>
          <w:color w:val="191919"/>
        </w:rPr>
        <w:t xml:space="preserve"> week and the 8</w:t>
      </w:r>
      <w:r w:rsidR="007B65A9" w:rsidRPr="00F16421">
        <w:rPr>
          <w:color w:val="191919"/>
          <w:vertAlign w:val="superscript"/>
        </w:rPr>
        <w:t>th</w:t>
      </w:r>
      <w:r w:rsidR="007B65A9" w:rsidRPr="00F16421">
        <w:rPr>
          <w:color w:val="191919"/>
        </w:rPr>
        <w:t xml:space="preserve"> week of classes, respectively.</w:t>
      </w:r>
      <w:r w:rsidR="007B65A9">
        <w:rPr>
          <w:color w:val="191919"/>
        </w:rPr>
        <w:t xml:space="preserve"> </w:t>
      </w:r>
      <w:r w:rsidR="007B65A9" w:rsidRPr="00F16421">
        <w:rPr>
          <w:color w:val="191919"/>
        </w:rPr>
        <w:t>For courses on an 8-week or other length schedules, 20% and 80% of the instructional time will be calculated using actual days of instruction by the office(s) publishing the calendar.</w:t>
      </w:r>
      <w:r w:rsidR="00CF4E7C">
        <w:rPr>
          <w:i/>
          <w:iCs/>
          <w:color w:val="000000"/>
        </w:rPr>
        <w:br/>
      </w:r>
    </w:p>
    <w:p w14:paraId="12567C3C" w14:textId="77777777" w:rsidR="00D67A2B" w:rsidRDefault="00D67A2B" w:rsidP="00D67A2B">
      <w:pPr>
        <w:ind w:left="-360"/>
        <w:rPr>
          <w:b/>
          <w:color w:val="000000"/>
        </w:rPr>
      </w:pPr>
    </w:p>
    <w:p w14:paraId="1AE8C54B" w14:textId="77777777" w:rsidR="00D67A2B" w:rsidRDefault="00CF4E7C" w:rsidP="00D67A2B">
      <w:pPr>
        <w:ind w:left="-360"/>
        <w:rPr>
          <w:bCs/>
          <w:color w:val="000000"/>
        </w:rPr>
      </w:pPr>
      <w:r>
        <w:rPr>
          <w:b/>
          <w:color w:val="000000"/>
        </w:rPr>
        <w:t xml:space="preserve">Policy </w:t>
      </w:r>
      <w:r w:rsidR="00466592">
        <w:rPr>
          <w:b/>
          <w:color w:val="000000"/>
        </w:rPr>
        <w:t>Text</w:t>
      </w:r>
      <w:r w:rsidR="00D67A2B">
        <w:rPr>
          <w:b/>
          <w:color w:val="000000"/>
        </w:rPr>
        <w:t xml:space="preserve">: </w:t>
      </w:r>
      <w:r>
        <w:rPr>
          <w:b/>
          <w:color w:val="000000"/>
        </w:rPr>
        <w:br/>
      </w:r>
      <w:r w:rsidR="007B65A9">
        <w:rPr>
          <w:bCs/>
          <w:color w:val="000000"/>
        </w:rPr>
        <w:t xml:space="preserve">Within the first three weeks of a typical 16-week semester, or within the first 20% of an alternate length semester, students may request permission numbers from the instructor to add a course.  Permission to add during this time is at the instructor’s discretion.  </w:t>
      </w:r>
    </w:p>
    <w:p w14:paraId="6EE58A43" w14:textId="77777777" w:rsidR="00A56F5F" w:rsidRDefault="00A56F5F" w:rsidP="00D67A2B">
      <w:pPr>
        <w:ind w:left="-360"/>
        <w:rPr>
          <w:bCs/>
          <w:color w:val="000000"/>
        </w:rPr>
      </w:pPr>
    </w:p>
    <w:p w14:paraId="76F61922" w14:textId="77777777" w:rsidR="00A56F5F" w:rsidRPr="00B72412" w:rsidRDefault="00A56F5F" w:rsidP="00A56F5F">
      <w:pPr>
        <w:ind w:left="-360"/>
        <w:rPr>
          <w:b/>
          <w:bCs/>
          <w:color w:val="000000"/>
        </w:rPr>
      </w:pPr>
      <w:r>
        <w:rPr>
          <w:bCs/>
          <w:color w:val="000000"/>
        </w:rPr>
        <w:lastRenderedPageBreak/>
        <w:t>Additions to a student’s schedule requiring a Time Conflict form or Additional Unit Authorization</w:t>
      </w:r>
      <w:r w:rsidRPr="00B72412">
        <w:rPr>
          <w:b/>
          <w:bCs/>
          <w:color w:val="000000"/>
        </w:rPr>
        <w:t xml:space="preserve"> </w:t>
      </w:r>
      <w:r w:rsidRPr="00356F72">
        <w:rPr>
          <w:bCs/>
          <w:color w:val="000000"/>
        </w:rPr>
        <w:t>require an administrative override.</w:t>
      </w:r>
    </w:p>
    <w:p w14:paraId="5A2F23A9" w14:textId="77777777" w:rsidR="00A56F5F" w:rsidRDefault="00A56F5F" w:rsidP="00D67A2B">
      <w:pPr>
        <w:ind w:left="-360"/>
        <w:rPr>
          <w:bCs/>
          <w:color w:val="000000"/>
        </w:rPr>
      </w:pPr>
    </w:p>
    <w:p w14:paraId="5D780367" w14:textId="7709DA4F" w:rsidR="00A56F5F" w:rsidRPr="00F540E8" w:rsidRDefault="00A56F5F" w:rsidP="00A56F5F">
      <w:pPr>
        <w:ind w:left="-360"/>
        <w:rPr>
          <w:bCs/>
          <w:color w:val="000000"/>
        </w:rPr>
      </w:pPr>
      <w:r>
        <w:rPr>
          <w:bCs/>
          <w:color w:val="000000"/>
        </w:rPr>
        <w:t xml:space="preserve">Students are not permitted to add a class beyond the third week of instructional time of a 16-week semester, or after the first 20% of an alternate length semester.  Exceptions may be made only in cases of </w:t>
      </w:r>
      <w:r w:rsidRPr="00356F72">
        <w:rPr>
          <w:bCs/>
          <w:color w:val="000000"/>
        </w:rPr>
        <w:t>extenuating circumstances</w:t>
      </w:r>
      <w:r>
        <w:rPr>
          <w:bCs/>
          <w:color w:val="000000"/>
        </w:rPr>
        <w:t xml:space="preserve"> outside of the student’s control and when the student has been attending the course and is current with all coursework.  The student must provide documentation as to the extenuating circumstance and obtain</w:t>
      </w:r>
      <w:r w:rsidRPr="00F540E8">
        <w:rPr>
          <w:color w:val="191919"/>
        </w:rPr>
        <w:t xml:space="preserve"> written approval by the instructor</w:t>
      </w:r>
      <w:r w:rsidR="00EB419A">
        <w:rPr>
          <w:color w:val="191919"/>
        </w:rPr>
        <w:t xml:space="preserve"> and</w:t>
      </w:r>
      <w:r w:rsidR="00822A65">
        <w:rPr>
          <w:color w:val="191919"/>
        </w:rPr>
        <w:t xml:space="preserve"> </w:t>
      </w:r>
      <w:r w:rsidRPr="00F540E8">
        <w:rPr>
          <w:color w:val="191919"/>
        </w:rPr>
        <w:t>the program chair</w:t>
      </w:r>
      <w:r>
        <w:rPr>
          <w:color w:val="191919"/>
        </w:rPr>
        <w:t>.  Extenuating circumstance is defined as verified accident, illness, university error</w:t>
      </w:r>
      <w:r w:rsidR="00E93BF6">
        <w:rPr>
          <w:color w:val="191919"/>
        </w:rPr>
        <w:t>,</w:t>
      </w:r>
      <w:r>
        <w:rPr>
          <w:color w:val="191919"/>
        </w:rPr>
        <w:t xml:space="preserve"> or other circumstance beyond the student’s control.  </w:t>
      </w:r>
    </w:p>
    <w:p w14:paraId="60276DAB" w14:textId="77777777" w:rsidR="00A56F5F" w:rsidRDefault="00A56F5F" w:rsidP="00D67A2B">
      <w:pPr>
        <w:ind w:left="-360"/>
        <w:rPr>
          <w:bCs/>
          <w:color w:val="000000"/>
        </w:rPr>
      </w:pPr>
    </w:p>
    <w:p w14:paraId="63A71E7F" w14:textId="77777777" w:rsidR="00D67A2B" w:rsidRDefault="00D67A2B" w:rsidP="00D67A2B">
      <w:pPr>
        <w:ind w:left="-360"/>
        <w:rPr>
          <w:bCs/>
          <w:color w:val="000000"/>
          <w:sz w:val="22"/>
          <w:szCs w:val="22"/>
        </w:rPr>
      </w:pPr>
    </w:p>
    <w:p w14:paraId="1D49E520" w14:textId="77777777" w:rsidR="00D67A2B" w:rsidRDefault="00D67A2B" w:rsidP="00D67A2B">
      <w:pPr>
        <w:ind w:left="-360"/>
        <w:rPr>
          <w:bCs/>
          <w:color w:val="000000"/>
          <w:sz w:val="22"/>
          <w:szCs w:val="22"/>
        </w:rPr>
      </w:pPr>
    </w:p>
    <w:p w14:paraId="36E7C12F" w14:textId="77777777" w:rsidR="00D67A2B" w:rsidRDefault="00F95BAE" w:rsidP="00D67A2B">
      <w:pPr>
        <w:ind w:left="-360"/>
        <w:rPr>
          <w:color w:val="000000"/>
        </w:rPr>
      </w:pPr>
      <w:r w:rsidRPr="00466592">
        <w:rPr>
          <w:b/>
          <w:bCs/>
          <w:caps/>
          <w:color w:val="000000"/>
        </w:rPr>
        <w:t>Exhibit(s)</w:t>
      </w:r>
      <w:r w:rsidR="00D67A2B" w:rsidRPr="00D67A2B">
        <w:rPr>
          <w:b/>
          <w:bCs/>
          <w:color w:val="000000"/>
        </w:rPr>
        <w:t>:</w:t>
      </w:r>
      <w:r w:rsidR="00D67A2B" w:rsidRPr="00D67A2B">
        <w:rPr>
          <w:bCs/>
          <w:color w:val="000000"/>
        </w:rPr>
        <w:t xml:space="preserve"> </w:t>
      </w:r>
      <w:r w:rsidR="00CF4E7C">
        <w:rPr>
          <w:bCs/>
          <w:color w:val="000000"/>
        </w:rPr>
        <w:br/>
      </w:r>
      <w:r w:rsidR="00D67A2B">
        <w:rPr>
          <w:bCs/>
          <w:color w:val="000000"/>
        </w:rPr>
        <w:t>&lt;text&gt;</w:t>
      </w:r>
      <w:r w:rsidR="00D67A2B">
        <w:rPr>
          <w:i/>
          <w:iCs/>
          <w:color w:val="000000"/>
        </w:rPr>
        <w:t xml:space="preserve"> </w:t>
      </w:r>
    </w:p>
    <w:p w14:paraId="73EB09A1" w14:textId="77777777" w:rsidR="00D67A2B" w:rsidRDefault="00D67A2B" w:rsidP="00D67A2B">
      <w:pPr>
        <w:ind w:left="-360"/>
        <w:rPr>
          <w:color w:val="000000"/>
        </w:rPr>
      </w:pPr>
    </w:p>
    <w:p w14:paraId="1ADD525D" w14:textId="77777777" w:rsidR="009E6522" w:rsidRDefault="009E6522">
      <w:pPr>
        <w:ind w:left="-360"/>
        <w:rPr>
          <w:color w:val="000000"/>
        </w:rPr>
      </w:pPr>
    </w:p>
    <w:p w14:paraId="37AD6A6A" w14:textId="77777777" w:rsidR="009E6522" w:rsidRDefault="009E6522">
      <w:pPr>
        <w:ind w:left="-360"/>
        <w:rPr>
          <w:color w:val="000000"/>
        </w:rPr>
      </w:pPr>
    </w:p>
    <w:p w14:paraId="12D839EE" w14:textId="77777777" w:rsidR="009E6522" w:rsidRDefault="009E6522">
      <w:pPr>
        <w:ind w:left="-360"/>
        <w:rPr>
          <w:color w:val="000000"/>
        </w:rPr>
      </w:pPr>
    </w:p>
    <w:p w14:paraId="0C3315A3" w14:textId="77777777" w:rsidR="009E6522" w:rsidRDefault="009E6522">
      <w:pPr>
        <w:ind w:left="-360"/>
        <w:rPr>
          <w:color w:val="000000"/>
        </w:rPr>
      </w:pPr>
    </w:p>
    <w:p w14:paraId="1ED1CE35" w14:textId="77777777" w:rsidR="009E6522" w:rsidRDefault="009E6522">
      <w:pPr>
        <w:ind w:left="-360"/>
        <w:rPr>
          <w:color w:val="000000"/>
        </w:rPr>
      </w:pPr>
    </w:p>
    <w:p w14:paraId="71E07F5F" w14:textId="77777777" w:rsidR="009E6522" w:rsidRDefault="009E6522">
      <w:pPr>
        <w:ind w:left="-360"/>
        <w:rPr>
          <w:color w:val="000000"/>
        </w:rPr>
      </w:pPr>
    </w:p>
    <w:p w14:paraId="4C836196" w14:textId="77777777" w:rsidR="009E6522" w:rsidRDefault="009E6522">
      <w:pPr>
        <w:ind w:left="-360"/>
        <w:rPr>
          <w:color w:val="000000"/>
        </w:rPr>
      </w:pPr>
    </w:p>
    <w:p w14:paraId="67439DEB" w14:textId="77777777" w:rsidR="009E6522" w:rsidRDefault="009E6522">
      <w:pPr>
        <w:ind w:left="-360"/>
        <w:rPr>
          <w:color w:val="000000"/>
        </w:rPr>
      </w:pPr>
    </w:p>
    <w:p w14:paraId="280E25D3" w14:textId="77777777" w:rsidR="009E6522" w:rsidRDefault="009E6522">
      <w:pPr>
        <w:ind w:left="-360"/>
        <w:rPr>
          <w:color w:val="000000"/>
        </w:rPr>
      </w:pPr>
    </w:p>
    <w:sectPr w:rsidR="009E6522">
      <w:headerReference w:type="default" r:id="rId8"/>
      <w:foot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D700C" w14:textId="77777777" w:rsidR="00F03D17" w:rsidRDefault="00F03D17">
      <w:r>
        <w:separator/>
      </w:r>
    </w:p>
  </w:endnote>
  <w:endnote w:type="continuationSeparator" w:id="0">
    <w:p w14:paraId="1FB89827" w14:textId="77777777" w:rsidR="00F03D17" w:rsidRDefault="00F0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B069" w14:textId="77777777" w:rsidR="009E6522" w:rsidRDefault="00442D6A">
    <w:pPr>
      <w:pStyle w:val="Footer"/>
      <w:jc w:val="right"/>
      <w:rPr>
        <w:i/>
        <w:iCs/>
        <w:sz w:val="12"/>
      </w:rPr>
    </w:pPr>
    <w:r>
      <w:rPr>
        <w:i/>
        <w:iCs/>
        <w:sz w:val="12"/>
      </w:rPr>
      <w:t xml:space="preserve">TEMPLATE </w:t>
    </w:r>
    <w:r w:rsidR="009E6522">
      <w:rPr>
        <w:i/>
        <w:iCs/>
        <w:sz w:val="12"/>
      </w:rPr>
      <w:t>R</w:t>
    </w:r>
    <w:r>
      <w:rPr>
        <w:i/>
        <w:iCs/>
        <w:sz w:val="12"/>
      </w:rPr>
      <w:t>EV 9/5/14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155DD" w14:textId="77777777" w:rsidR="00F03D17" w:rsidRDefault="00F03D17">
      <w:r>
        <w:separator/>
      </w:r>
    </w:p>
  </w:footnote>
  <w:footnote w:type="continuationSeparator" w:id="0">
    <w:p w14:paraId="2082F7FD" w14:textId="77777777" w:rsidR="00F03D17" w:rsidRDefault="00F03D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3C533" w14:textId="77777777" w:rsidR="009E6522" w:rsidRDefault="00A575D7">
    <w:pPr>
      <w:pStyle w:val="Header"/>
      <w:rPr>
        <w:color w:val="000000"/>
      </w:rPr>
    </w:pPr>
    <w:r>
      <w:rPr>
        <w:noProof/>
        <w:color w:val="000000"/>
      </w:rPr>
      <w:pict w14:anchorId="716069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1ACCA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19.5pt;margin-top:-4.9pt;width:486.6pt;height:108pt;z-index:-251658752" wrapcoords="-33 0 -33 21450 21600 21450 21600 0 -33 0">
          <v:imagedata r:id="rId1" o:title="CI Policy logo"/>
          <w10:wrap type="tight"/>
        </v:shape>
      </w:pict>
    </w:r>
  </w:p>
  <w:p w14:paraId="15A1039B" w14:textId="77777777" w:rsidR="00797C0B" w:rsidRDefault="00797C0B">
    <w:pPr>
      <w:pStyle w:val="Header"/>
      <w:rPr>
        <w:color w:val="000000"/>
      </w:rPr>
    </w:pPr>
  </w:p>
  <w:p w14:paraId="5D140F1F" w14:textId="77777777" w:rsidR="00797C0B" w:rsidRDefault="00797C0B">
    <w:pPr>
      <w:pStyle w:val="Header"/>
      <w:rPr>
        <w:color w:val="000000"/>
      </w:rPr>
    </w:pPr>
  </w:p>
  <w:p w14:paraId="659512D8" w14:textId="77777777" w:rsidR="00797C0B" w:rsidRDefault="00797C0B">
    <w:pPr>
      <w:pStyle w:val="Header"/>
      <w:rPr>
        <w:color w:val="000000"/>
      </w:rPr>
    </w:pPr>
  </w:p>
  <w:p w14:paraId="2300C89B" w14:textId="77777777" w:rsidR="00797C0B" w:rsidRDefault="00797C0B">
    <w:pPr>
      <w:pStyle w:val="Header"/>
      <w:rPr>
        <w:color w:val="000000"/>
      </w:rPr>
    </w:pPr>
  </w:p>
  <w:p w14:paraId="701C9781" w14:textId="77777777" w:rsidR="00797C0B" w:rsidRDefault="00797C0B">
    <w:pPr>
      <w:pStyle w:val="Header"/>
      <w:rPr>
        <w:color w:val="000000"/>
      </w:rPr>
    </w:pPr>
  </w:p>
  <w:p w14:paraId="13ED2EB8" w14:textId="77777777" w:rsidR="00797C0B" w:rsidRDefault="00797C0B" w:rsidP="00A6081B">
    <w:pPr>
      <w:pStyle w:val="Header"/>
      <w:jc w:val="right"/>
      <w:rPr>
        <w:color w:val="000000"/>
      </w:rPr>
    </w:pPr>
  </w:p>
  <w:p w14:paraId="0D261041" w14:textId="6BE9CF56" w:rsidR="009E6522" w:rsidRPr="00FF4F59" w:rsidRDefault="00FF4F59">
    <w:pPr>
      <w:pStyle w:val="BodyText"/>
      <w:tabs>
        <w:tab w:val="left" w:pos="1620"/>
        <w:tab w:val="left" w:pos="5760"/>
      </w:tabs>
      <w:ind w:firstLine="2160"/>
      <w:rPr>
        <w:color w:val="FF0000"/>
      </w:rPr>
    </w:pPr>
    <w:r>
      <w:rPr>
        <w:b/>
        <w:bCs/>
        <w:color w:val="000000"/>
        <w:sz w:val="26"/>
      </w:rPr>
      <w:t>Division of Academic Affairs</w:t>
    </w:r>
    <w:r w:rsidR="009E6522">
      <w:rPr>
        <w:color w:val="000000"/>
      </w:rPr>
      <w:tab/>
    </w:r>
    <w:r w:rsidR="009E6522">
      <w:rPr>
        <w:b/>
        <w:bCs/>
        <w:color w:val="000000"/>
      </w:rPr>
      <w:t>Policy Number:</w:t>
    </w:r>
    <w:r w:rsidR="009E6522">
      <w:rPr>
        <w:color w:val="000000"/>
      </w:rPr>
      <w:t xml:space="preserve"> </w:t>
    </w:r>
    <w:r>
      <w:rPr>
        <w:color w:val="000000"/>
      </w:rPr>
      <w:t>SP 18-0</w:t>
    </w:r>
    <w:r>
      <w:rPr>
        <w:color w:val="FF0000"/>
      </w:rPr>
      <w:t>1</w:t>
    </w:r>
  </w:p>
  <w:p w14:paraId="084A4510" w14:textId="07F27D78" w:rsidR="009E6522" w:rsidRDefault="009E6522">
    <w:pPr>
      <w:pStyle w:val="Header"/>
      <w:tabs>
        <w:tab w:val="clear" w:pos="4320"/>
        <w:tab w:val="clear" w:pos="8640"/>
        <w:tab w:val="left" w:pos="1440"/>
        <w:tab w:val="left" w:pos="3600"/>
        <w:tab w:val="left" w:pos="5760"/>
      </w:tabs>
      <w:ind w:firstLine="2160"/>
      <w:rPr>
        <w:color w:val="000000"/>
        <w:sz w:val="22"/>
      </w:rPr>
    </w:pPr>
    <w:r>
      <w:rPr>
        <w:b/>
        <w:bCs/>
        <w:color w:val="000000"/>
        <w:sz w:val="22"/>
      </w:rPr>
      <w:t>Approved By:</w:t>
    </w:r>
    <w:r w:rsidR="00CF4E7C">
      <w:rPr>
        <w:color w:val="000000"/>
        <w:sz w:val="22"/>
      </w:rPr>
      <w:tab/>
    </w:r>
    <w:r w:rsidR="00FF4F59">
      <w:rPr>
        <w:color w:val="000000"/>
        <w:sz w:val="22"/>
      </w:rPr>
      <w:t>Academic Senate</w:t>
    </w:r>
    <w:r>
      <w:rPr>
        <w:color w:val="000000"/>
        <w:sz w:val="22"/>
      </w:rPr>
      <w:tab/>
    </w:r>
    <w:r>
      <w:rPr>
        <w:b/>
        <w:bCs/>
        <w:color w:val="000000"/>
        <w:sz w:val="22"/>
      </w:rPr>
      <w:t>Effective Date:</w:t>
    </w:r>
    <w:r>
      <w:rPr>
        <w:color w:val="000000"/>
        <w:sz w:val="22"/>
      </w:rPr>
      <w:t xml:space="preserve"> </w:t>
    </w:r>
    <w:r w:rsidR="00FF4F59">
      <w:rPr>
        <w:color w:val="000000"/>
        <w:sz w:val="22"/>
      </w:rPr>
      <w:t>X</w:t>
    </w:r>
  </w:p>
  <w:p w14:paraId="24483A2D" w14:textId="60D31656" w:rsidR="009E6522" w:rsidRDefault="009E6522">
    <w:pPr>
      <w:tabs>
        <w:tab w:val="left" w:pos="1440"/>
        <w:tab w:val="left" w:pos="3600"/>
        <w:tab w:val="left" w:pos="5760"/>
      </w:tabs>
      <w:ind w:firstLine="2160"/>
      <w:rPr>
        <w:color w:val="000000"/>
        <w:sz w:val="22"/>
      </w:rPr>
    </w:pPr>
    <w:r>
      <w:rPr>
        <w:color w:val="000000"/>
        <w:sz w:val="22"/>
      </w:rPr>
      <w:tab/>
    </w:r>
    <w:r w:rsidR="00FF4F59">
      <w:rPr>
        <w:color w:val="000000"/>
        <w:sz w:val="22"/>
      </w:rPr>
      <w:t>DATE</w:t>
    </w:r>
    <w:r>
      <w:rPr>
        <w:color w:val="000000"/>
        <w:sz w:val="22"/>
      </w:rPr>
      <w:tab/>
    </w:r>
    <w:r>
      <w:rPr>
        <w:b/>
        <w:bCs/>
        <w:color w:val="000000"/>
      </w:rPr>
      <w:t>Page</w:t>
    </w:r>
    <w:r>
      <w:rPr>
        <w:color w:val="000000"/>
      </w:rPr>
      <w:t xml:space="preserve"> </w:t>
    </w:r>
    <w:r>
      <w:rPr>
        <w:color w:val="000000"/>
      </w:rPr>
      <w:fldChar w:fldCharType="begin"/>
    </w:r>
    <w:r>
      <w:rPr>
        <w:color w:val="000000"/>
      </w:rPr>
      <w:instrText xml:space="preserve"> PAGE </w:instrText>
    </w:r>
    <w:r>
      <w:rPr>
        <w:color w:val="000000"/>
      </w:rPr>
      <w:fldChar w:fldCharType="separate"/>
    </w:r>
    <w:r w:rsidR="00A575D7">
      <w:rPr>
        <w:noProof/>
        <w:color w:val="000000"/>
      </w:rPr>
      <w:t>2</w:t>
    </w:r>
    <w:r>
      <w:rPr>
        <w:color w:val="000000"/>
      </w:rPr>
      <w:fldChar w:fldCharType="end"/>
    </w:r>
    <w:r>
      <w:rPr>
        <w:color w:val="000000"/>
      </w:rPr>
      <w:t xml:space="preserve"> of </w:t>
    </w:r>
    <w:r>
      <w:rPr>
        <w:color w:val="000000"/>
      </w:rPr>
      <w:fldChar w:fldCharType="begin"/>
    </w:r>
    <w:r>
      <w:rPr>
        <w:color w:val="000000"/>
      </w:rPr>
      <w:instrText xml:space="preserve"> NUMPAGES </w:instrText>
    </w:r>
    <w:r>
      <w:rPr>
        <w:color w:val="000000"/>
      </w:rPr>
      <w:fldChar w:fldCharType="separate"/>
    </w:r>
    <w:r w:rsidR="00A575D7">
      <w:rPr>
        <w:noProof/>
        <w:color w:val="000000"/>
      </w:rPr>
      <w:t>2</w:t>
    </w:r>
    <w:r>
      <w:rPr>
        <w:color w:val="000000"/>
      </w:rPr>
      <w:fldChar w:fldCharType="end"/>
    </w:r>
  </w:p>
  <w:p w14:paraId="01EC8F24" w14:textId="77777777" w:rsidR="009E6522" w:rsidRDefault="009E6522">
    <w:pPr>
      <w:tabs>
        <w:tab w:val="left" w:pos="1440"/>
        <w:tab w:val="left" w:pos="3600"/>
        <w:tab w:val="left" w:pos="5760"/>
      </w:tabs>
      <w:ind w:firstLine="2160"/>
      <w:rPr>
        <w:color w:val="000000"/>
        <w:sz w:val="22"/>
      </w:rPr>
    </w:pPr>
  </w:p>
  <w:p w14:paraId="6B3C13CB" w14:textId="77777777" w:rsidR="009E6522" w:rsidRDefault="00A575D7">
    <w:pPr>
      <w:tabs>
        <w:tab w:val="left" w:pos="1440"/>
        <w:tab w:val="left" w:pos="3600"/>
        <w:tab w:val="left" w:pos="5760"/>
      </w:tabs>
      <w:ind w:firstLine="2160"/>
      <w:rPr>
        <w:color w:val="000000"/>
        <w:sz w:val="22"/>
      </w:rPr>
    </w:pPr>
    <w:r>
      <w:rPr>
        <w:noProof/>
        <w:color w:val="000000"/>
        <w:sz w:val="20"/>
      </w:rPr>
      <w:pict w14:anchorId="388D8076">
        <v:shapetype id="_x0000_t202" coordsize="21600,21600" o:spt="202" path="m,l,21600r21600,l21600,xe">
          <v:stroke joinstyle="miter"/>
          <v:path gradientshapeok="t" o:connecttype="rect"/>
        </v:shapetype>
        <v:shape id="_x0000_s2049" type="#_x0000_t202" style="position:absolute;left:0;text-align:left;margin-left:-18pt;margin-top:5.8pt;width:7in;height:27pt;z-index:251656704">
          <v:textbox style="mso-next-textbox:#_x0000_s2049">
            <w:txbxContent>
              <w:p w14:paraId="278606FC" w14:textId="77777777" w:rsidR="009E6522" w:rsidRDefault="007B65A9">
                <w:pPr>
                  <w:pStyle w:val="Heading5"/>
                  <w:ind w:left="0"/>
                  <w:jc w:val="center"/>
                  <w:rPr>
                    <w:color w:val="000000"/>
                    <w:sz w:val="28"/>
                  </w:rPr>
                </w:pPr>
                <w:r>
                  <w:rPr>
                    <w:color w:val="000000"/>
                    <w:sz w:val="28"/>
                  </w:rPr>
                  <w:t>Add Policy</w:t>
                </w:r>
              </w:p>
            </w:txbxContent>
          </v:textbox>
        </v:shape>
      </w:pict>
    </w:r>
  </w:p>
  <w:p w14:paraId="7AD04A08" w14:textId="77777777" w:rsidR="009E6522" w:rsidRDefault="009E6522">
    <w:pPr>
      <w:pStyle w:val="Heading4"/>
      <w:tabs>
        <w:tab w:val="left" w:pos="3780"/>
        <w:tab w:val="left" w:pos="5760"/>
      </w:tabs>
      <w:ind w:firstLine="2160"/>
      <w:rPr>
        <w:color w:val="000000"/>
        <w:sz w:val="22"/>
      </w:rPr>
    </w:pPr>
  </w:p>
  <w:p w14:paraId="23B50C6B" w14:textId="77777777" w:rsidR="009E6522" w:rsidRDefault="009E6522">
    <w:pPr>
      <w:pStyle w:val="Header"/>
      <w:tabs>
        <w:tab w:val="left" w:pos="3780"/>
        <w:tab w:val="left" w:pos="5760"/>
      </w:tabs>
      <w:ind w:firstLine="2160"/>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07ED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C1D1EF9"/>
    <w:multiLevelType w:val="hybridMultilevel"/>
    <w:tmpl w:val="F372D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370969"/>
    <w:multiLevelType w:val="hybridMultilevel"/>
    <w:tmpl w:val="61AEA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CE08F4"/>
    <w:multiLevelType w:val="hybridMultilevel"/>
    <w:tmpl w:val="761CACDE"/>
    <w:lvl w:ilvl="0" w:tplc="F1BA31DC">
      <w:start w:val="1"/>
      <w:numFmt w:val="decimal"/>
      <w:lvlText w:val="%1."/>
      <w:lvlJc w:val="left"/>
      <w:pPr>
        <w:tabs>
          <w:tab w:val="num" w:pos="720"/>
        </w:tabs>
        <w:ind w:left="720"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8A66F4"/>
    <w:multiLevelType w:val="hybridMultilevel"/>
    <w:tmpl w:val="CABAD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FA1B34"/>
    <w:multiLevelType w:val="hybridMultilevel"/>
    <w:tmpl w:val="8E500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522"/>
    <w:rsid w:val="000977FD"/>
    <w:rsid w:val="000C2536"/>
    <w:rsid w:val="000D2B98"/>
    <w:rsid w:val="00163699"/>
    <w:rsid w:val="001F66C1"/>
    <w:rsid w:val="002D4367"/>
    <w:rsid w:val="002F4442"/>
    <w:rsid w:val="00304FEA"/>
    <w:rsid w:val="003E4D80"/>
    <w:rsid w:val="00442D6A"/>
    <w:rsid w:val="00466592"/>
    <w:rsid w:val="004B65AD"/>
    <w:rsid w:val="004C2166"/>
    <w:rsid w:val="005133F7"/>
    <w:rsid w:val="00554358"/>
    <w:rsid w:val="005C4620"/>
    <w:rsid w:val="00624511"/>
    <w:rsid w:val="006541CE"/>
    <w:rsid w:val="00687AC8"/>
    <w:rsid w:val="006E6AB6"/>
    <w:rsid w:val="007161B2"/>
    <w:rsid w:val="00797C0B"/>
    <w:rsid w:val="007B65A9"/>
    <w:rsid w:val="00822A65"/>
    <w:rsid w:val="009A0AFD"/>
    <w:rsid w:val="009E6522"/>
    <w:rsid w:val="00A1057B"/>
    <w:rsid w:val="00A13DA7"/>
    <w:rsid w:val="00A56F5F"/>
    <w:rsid w:val="00A575D7"/>
    <w:rsid w:val="00A6081B"/>
    <w:rsid w:val="00AA34CA"/>
    <w:rsid w:val="00B70C63"/>
    <w:rsid w:val="00C25A8F"/>
    <w:rsid w:val="00CC6D63"/>
    <w:rsid w:val="00CE15C0"/>
    <w:rsid w:val="00CF4E7C"/>
    <w:rsid w:val="00D67A2B"/>
    <w:rsid w:val="00DC43B2"/>
    <w:rsid w:val="00DD779C"/>
    <w:rsid w:val="00E72E5F"/>
    <w:rsid w:val="00E811E2"/>
    <w:rsid w:val="00E81BBE"/>
    <w:rsid w:val="00E93BF6"/>
    <w:rsid w:val="00EB419A"/>
    <w:rsid w:val="00F03D17"/>
    <w:rsid w:val="00F417A6"/>
    <w:rsid w:val="00F50C9D"/>
    <w:rsid w:val="00F95BAE"/>
    <w:rsid w:val="00FF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22EEE40F"/>
  <w15:chartTrackingRefBased/>
  <w15:docId w15:val="{D08EA862-5CAF-41DA-B3C6-1B54C192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A2B"/>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ind w:left="-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ListBullet">
    <w:name w:val="List Bullet"/>
    <w:basedOn w:val="Normal"/>
    <w:autoRedefine/>
    <w:pPr>
      <w:numPr>
        <w:numId w:val="2"/>
      </w:numPr>
    </w:pPr>
  </w:style>
  <w:style w:type="paragraph" w:styleId="BalloonText">
    <w:name w:val="Balloon Text"/>
    <w:basedOn w:val="Normal"/>
    <w:link w:val="BalloonTextChar"/>
    <w:rsid w:val="000C2536"/>
    <w:rPr>
      <w:rFonts w:ascii="Segoe UI" w:hAnsi="Segoe UI" w:cs="Segoe UI"/>
      <w:sz w:val="18"/>
      <w:szCs w:val="18"/>
    </w:rPr>
  </w:style>
  <w:style w:type="character" w:customStyle="1" w:styleId="BalloonTextChar">
    <w:name w:val="Balloon Text Char"/>
    <w:link w:val="BalloonText"/>
    <w:rsid w:val="000C2536"/>
    <w:rPr>
      <w:rFonts w:ascii="Segoe UI" w:hAnsi="Segoe UI" w:cs="Segoe UI"/>
      <w:sz w:val="18"/>
      <w:szCs w:val="18"/>
    </w:rPr>
  </w:style>
  <w:style w:type="character" w:styleId="CommentReference">
    <w:name w:val="annotation reference"/>
    <w:rsid w:val="006E6AB6"/>
    <w:rPr>
      <w:sz w:val="16"/>
      <w:szCs w:val="16"/>
    </w:rPr>
  </w:style>
  <w:style w:type="paragraph" w:styleId="CommentText">
    <w:name w:val="annotation text"/>
    <w:basedOn w:val="Normal"/>
    <w:link w:val="CommentTextChar"/>
    <w:rsid w:val="006E6AB6"/>
    <w:rPr>
      <w:sz w:val="20"/>
      <w:szCs w:val="20"/>
    </w:rPr>
  </w:style>
  <w:style w:type="character" w:customStyle="1" w:styleId="CommentTextChar">
    <w:name w:val="Comment Text Char"/>
    <w:basedOn w:val="DefaultParagraphFont"/>
    <w:link w:val="CommentText"/>
    <w:rsid w:val="006E6AB6"/>
  </w:style>
  <w:style w:type="paragraph" w:styleId="CommentSubject">
    <w:name w:val="annotation subject"/>
    <w:basedOn w:val="CommentText"/>
    <w:next w:val="CommentText"/>
    <w:link w:val="CommentSubjectChar"/>
    <w:rsid w:val="006E6AB6"/>
    <w:rPr>
      <w:b/>
      <w:bCs/>
    </w:rPr>
  </w:style>
  <w:style w:type="character" w:customStyle="1" w:styleId="CommentSubjectChar">
    <w:name w:val="Comment Subject Char"/>
    <w:link w:val="CommentSubject"/>
    <w:rsid w:val="006E6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106406">
      <w:bodyDiv w:val="1"/>
      <w:marLeft w:val="0"/>
      <w:marRight w:val="0"/>
      <w:marTop w:val="0"/>
      <w:marBottom w:val="0"/>
      <w:divBdr>
        <w:top w:val="none" w:sz="0" w:space="0" w:color="auto"/>
        <w:left w:val="none" w:sz="0" w:space="0" w:color="auto"/>
        <w:bottom w:val="none" w:sz="0" w:space="0" w:color="auto"/>
        <w:right w:val="none" w:sz="0" w:space="0" w:color="auto"/>
      </w:divBdr>
    </w:div>
    <w:div w:id="101222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ssa.remotti\Local%20Settings\Temporary%20Internet%20Files\OLKD8\APM_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6DFDC-803E-4FA7-B810-F2B15E29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APM_Policy.dot</Template>
  <TotalTime>1</TotalTime>
  <Pages>2</Pages>
  <Words>389</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Divisionof Offic</vt:lpstr>
    </vt:vector>
  </TitlesOfParts>
  <Company>Cal State University Channel Islands</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Divisionof Offic</dc:title>
  <dc:subject/>
  <dc:creator>melissa.remotti</dc:creator>
  <cp:keywords/>
  <cp:lastModifiedBy>Edwards, Jeannette</cp:lastModifiedBy>
  <cp:revision>2</cp:revision>
  <cp:lastPrinted>2014-09-08T20:11:00Z</cp:lastPrinted>
  <dcterms:created xsi:type="dcterms:W3CDTF">2019-02-20T17:21:00Z</dcterms:created>
  <dcterms:modified xsi:type="dcterms:W3CDTF">2019-02-20T17:21:00Z</dcterms:modified>
</cp:coreProperties>
</file>