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F0F" w:rsidRDefault="006F7F0F" w:rsidP="00C710B2">
      <w:pPr>
        <w:rPr>
          <w:b/>
          <w:sz w:val="24"/>
          <w:szCs w:val="24"/>
        </w:rPr>
      </w:pPr>
    </w:p>
    <w:p w:rsidR="00C710B2" w:rsidRPr="00E47A4F" w:rsidRDefault="00C710B2" w:rsidP="00C710B2">
      <w:pPr>
        <w:rPr>
          <w:sz w:val="24"/>
          <w:szCs w:val="24"/>
        </w:rPr>
      </w:pPr>
      <w:r w:rsidRPr="00E47A4F">
        <w:rPr>
          <w:b/>
          <w:sz w:val="24"/>
          <w:szCs w:val="24"/>
        </w:rPr>
        <w:t>Resolution #:</w:t>
      </w:r>
      <w:r>
        <w:rPr>
          <w:sz w:val="24"/>
          <w:szCs w:val="24"/>
        </w:rPr>
        <w:t xml:space="preserve"> SR 18</w:t>
      </w:r>
      <w:r w:rsidR="001A4991">
        <w:rPr>
          <w:sz w:val="24"/>
          <w:szCs w:val="24"/>
        </w:rPr>
        <w:t>-03</w:t>
      </w:r>
    </w:p>
    <w:p w:rsidR="00C710B2" w:rsidRPr="00E47A4F" w:rsidRDefault="00C710B2" w:rsidP="00C710B2">
      <w:pPr>
        <w:rPr>
          <w:sz w:val="24"/>
          <w:szCs w:val="24"/>
        </w:rPr>
      </w:pPr>
      <w:r w:rsidRPr="00E47A4F">
        <w:rPr>
          <w:b/>
          <w:sz w:val="24"/>
          <w:szCs w:val="24"/>
        </w:rPr>
        <w:t>Drafted By:</w:t>
      </w:r>
      <w:r w:rsidRPr="00E47A4F">
        <w:rPr>
          <w:sz w:val="24"/>
          <w:szCs w:val="24"/>
        </w:rPr>
        <w:t xml:space="preserve"> Senate Executive Committee </w:t>
      </w:r>
    </w:p>
    <w:p w:rsidR="00C710B2" w:rsidRPr="001A4991" w:rsidRDefault="00C710B2" w:rsidP="00C710B2">
      <w:pPr>
        <w:rPr>
          <w:sz w:val="24"/>
          <w:szCs w:val="24"/>
        </w:rPr>
      </w:pPr>
      <w:r w:rsidRPr="00E47A4F">
        <w:rPr>
          <w:b/>
          <w:sz w:val="24"/>
          <w:szCs w:val="24"/>
        </w:rPr>
        <w:t xml:space="preserve">Approval Date: </w:t>
      </w:r>
      <w:r w:rsidR="001A4991" w:rsidRPr="001A4991">
        <w:rPr>
          <w:sz w:val="24"/>
          <w:szCs w:val="24"/>
        </w:rPr>
        <w:t>March 12, 2019</w:t>
      </w:r>
    </w:p>
    <w:p w:rsidR="00C710B2" w:rsidRPr="00E47A4F" w:rsidRDefault="00C710B2" w:rsidP="00C710B2">
      <w:pPr>
        <w:rPr>
          <w:sz w:val="24"/>
          <w:szCs w:val="24"/>
        </w:rPr>
      </w:pPr>
      <w:bookmarkStart w:id="0" w:name="_GoBack"/>
      <w:bookmarkEnd w:id="0"/>
    </w:p>
    <w:p w:rsidR="00C710B2" w:rsidRPr="00E47A4F" w:rsidRDefault="00C710B2" w:rsidP="00C710B2">
      <w:pPr>
        <w:rPr>
          <w:sz w:val="24"/>
          <w:szCs w:val="24"/>
        </w:rPr>
      </w:pPr>
      <w:r w:rsidRPr="00E47A4F">
        <w:rPr>
          <w:b/>
          <w:sz w:val="24"/>
          <w:szCs w:val="24"/>
        </w:rPr>
        <w:t>Purpose:</w:t>
      </w:r>
    </w:p>
    <w:p w:rsidR="00C710B2" w:rsidRPr="00E47A4F" w:rsidRDefault="00C710B2" w:rsidP="00C710B2">
      <w:pPr>
        <w:rPr>
          <w:sz w:val="24"/>
          <w:szCs w:val="24"/>
        </w:rPr>
      </w:pPr>
      <w:r w:rsidRPr="00E47A4F">
        <w:rPr>
          <w:sz w:val="24"/>
          <w:szCs w:val="24"/>
        </w:rPr>
        <w:t xml:space="preserve">This resolution </w:t>
      </w:r>
      <w:proofErr w:type="gramStart"/>
      <w:r w:rsidRPr="00E47A4F">
        <w:rPr>
          <w:sz w:val="24"/>
          <w:szCs w:val="24"/>
        </w:rPr>
        <w:t>is intended</w:t>
      </w:r>
      <w:proofErr w:type="gramEnd"/>
      <w:r w:rsidRPr="00E47A4F">
        <w:rPr>
          <w:sz w:val="24"/>
          <w:szCs w:val="24"/>
        </w:rPr>
        <w:t xml:space="preserve"> to encourage academic programs and the Faculty Affairs Committee to clarify </w:t>
      </w:r>
      <w:r>
        <w:rPr>
          <w:sz w:val="24"/>
          <w:szCs w:val="24"/>
        </w:rPr>
        <w:t xml:space="preserve">expectations for university service </w:t>
      </w:r>
      <w:r w:rsidRPr="00E47A4F">
        <w:rPr>
          <w:sz w:val="24"/>
          <w:szCs w:val="24"/>
        </w:rPr>
        <w:t xml:space="preserve">for the purpose of Retention, Tenure, and Promotion. </w:t>
      </w:r>
    </w:p>
    <w:p w:rsidR="00C710B2" w:rsidRPr="00E47A4F" w:rsidRDefault="00C710B2" w:rsidP="00C710B2">
      <w:pPr>
        <w:rPr>
          <w:sz w:val="24"/>
          <w:szCs w:val="24"/>
        </w:rPr>
      </w:pPr>
    </w:p>
    <w:p w:rsidR="00C710B2" w:rsidRPr="00E47A4F" w:rsidRDefault="00C710B2" w:rsidP="00C710B2">
      <w:pPr>
        <w:rPr>
          <w:b/>
          <w:sz w:val="24"/>
          <w:szCs w:val="24"/>
        </w:rPr>
      </w:pPr>
      <w:r w:rsidRPr="00E47A4F">
        <w:rPr>
          <w:b/>
          <w:sz w:val="24"/>
          <w:szCs w:val="24"/>
        </w:rPr>
        <w:t>Resolution:</w:t>
      </w:r>
    </w:p>
    <w:p w:rsidR="00C710B2" w:rsidRDefault="00C710B2" w:rsidP="00C710B2">
      <w:pPr>
        <w:rPr>
          <w:sz w:val="24"/>
          <w:szCs w:val="24"/>
        </w:rPr>
      </w:pPr>
      <w:r>
        <w:rPr>
          <w:sz w:val="24"/>
          <w:szCs w:val="24"/>
        </w:rPr>
        <w:t>Whereas, at its inception CSUCI’s small tenured and tenure track faculty required that all such faculty assume multiple roles on multiple committees; and</w:t>
      </w:r>
    </w:p>
    <w:p w:rsidR="00C710B2" w:rsidRDefault="00C710B2" w:rsidP="00C710B2">
      <w:pPr>
        <w:rPr>
          <w:sz w:val="24"/>
          <w:szCs w:val="24"/>
        </w:rPr>
      </w:pPr>
    </w:p>
    <w:p w:rsidR="00C710B2" w:rsidRPr="00E47A4F" w:rsidRDefault="00C710B2" w:rsidP="00C710B2">
      <w:pPr>
        <w:rPr>
          <w:sz w:val="24"/>
          <w:szCs w:val="24"/>
        </w:rPr>
      </w:pPr>
      <w:r w:rsidRPr="00E47A4F">
        <w:rPr>
          <w:sz w:val="24"/>
          <w:szCs w:val="24"/>
        </w:rPr>
        <w:t xml:space="preserve">Whereas, </w:t>
      </w:r>
      <w:r>
        <w:rPr>
          <w:sz w:val="24"/>
          <w:szCs w:val="24"/>
        </w:rPr>
        <w:t>CSUCI’s tenured and tenure track faculty has increased considerably over the last 16 years; and</w:t>
      </w:r>
    </w:p>
    <w:p w:rsidR="00C710B2" w:rsidRPr="00E47A4F" w:rsidRDefault="00C710B2" w:rsidP="00C710B2">
      <w:pPr>
        <w:rPr>
          <w:sz w:val="24"/>
          <w:szCs w:val="24"/>
        </w:rPr>
      </w:pPr>
    </w:p>
    <w:p w:rsidR="00C710B2" w:rsidRPr="00E47A4F" w:rsidRDefault="00C710B2" w:rsidP="00C710B2">
      <w:pPr>
        <w:rPr>
          <w:sz w:val="24"/>
          <w:szCs w:val="24"/>
        </w:rPr>
      </w:pPr>
      <w:r w:rsidRPr="00E47A4F">
        <w:rPr>
          <w:sz w:val="24"/>
          <w:szCs w:val="24"/>
        </w:rPr>
        <w:t xml:space="preserve">Whereas, </w:t>
      </w:r>
      <w:r>
        <w:rPr>
          <w:sz w:val="24"/>
          <w:szCs w:val="24"/>
        </w:rPr>
        <w:t>the number of available senate committee positions is limited</w:t>
      </w:r>
      <w:r w:rsidRPr="00E47A4F">
        <w:rPr>
          <w:sz w:val="24"/>
          <w:szCs w:val="24"/>
        </w:rPr>
        <w:t>;</w:t>
      </w:r>
      <w:r>
        <w:rPr>
          <w:sz w:val="24"/>
          <w:szCs w:val="24"/>
        </w:rPr>
        <w:t xml:space="preserve"> and</w:t>
      </w:r>
    </w:p>
    <w:p w:rsidR="00C710B2" w:rsidRPr="00E47A4F" w:rsidRDefault="00C710B2" w:rsidP="00C710B2">
      <w:pPr>
        <w:rPr>
          <w:sz w:val="24"/>
          <w:szCs w:val="24"/>
        </w:rPr>
      </w:pPr>
    </w:p>
    <w:p w:rsidR="00C710B2" w:rsidRPr="00E47A4F" w:rsidRDefault="00C710B2" w:rsidP="00C710B2">
      <w:pPr>
        <w:rPr>
          <w:sz w:val="24"/>
          <w:szCs w:val="24"/>
        </w:rPr>
      </w:pPr>
      <w:r w:rsidRPr="00E47A4F">
        <w:rPr>
          <w:sz w:val="24"/>
          <w:szCs w:val="24"/>
        </w:rPr>
        <w:t xml:space="preserve">Whereas, </w:t>
      </w:r>
      <w:r>
        <w:rPr>
          <w:sz w:val="24"/>
          <w:szCs w:val="24"/>
        </w:rPr>
        <w:t>service on committees is an important component of the Retention, Tenure, and Promotion process</w:t>
      </w:r>
      <w:r w:rsidRPr="00E47A4F">
        <w:rPr>
          <w:sz w:val="24"/>
          <w:szCs w:val="24"/>
        </w:rPr>
        <w:t>;</w:t>
      </w:r>
      <w:r>
        <w:rPr>
          <w:sz w:val="24"/>
          <w:szCs w:val="24"/>
        </w:rPr>
        <w:t xml:space="preserve"> and</w:t>
      </w:r>
    </w:p>
    <w:p w:rsidR="00C710B2" w:rsidRPr="00E47A4F" w:rsidRDefault="00C710B2" w:rsidP="00C710B2">
      <w:pPr>
        <w:rPr>
          <w:sz w:val="24"/>
          <w:szCs w:val="24"/>
        </w:rPr>
      </w:pPr>
    </w:p>
    <w:p w:rsidR="00C710B2" w:rsidRPr="00E47A4F" w:rsidRDefault="00C710B2" w:rsidP="00C710B2">
      <w:pPr>
        <w:rPr>
          <w:sz w:val="24"/>
          <w:szCs w:val="24"/>
        </w:rPr>
      </w:pPr>
      <w:r w:rsidRPr="00E47A4F">
        <w:rPr>
          <w:sz w:val="24"/>
          <w:szCs w:val="24"/>
        </w:rPr>
        <w:t xml:space="preserve">Whereas, the Academic Senate seeks to maintain a transparent and supportive Retention, Tenure, and Promotion Policy that encourages </w:t>
      </w:r>
      <w:r>
        <w:rPr>
          <w:sz w:val="24"/>
          <w:szCs w:val="24"/>
        </w:rPr>
        <w:t>rank-appropriate service opportunities</w:t>
      </w:r>
      <w:r w:rsidRPr="00E47A4F">
        <w:rPr>
          <w:sz w:val="24"/>
          <w:szCs w:val="24"/>
        </w:rPr>
        <w:t>;</w:t>
      </w:r>
      <w:r>
        <w:rPr>
          <w:sz w:val="24"/>
          <w:szCs w:val="24"/>
        </w:rPr>
        <w:t xml:space="preserve"> and</w:t>
      </w:r>
    </w:p>
    <w:p w:rsidR="00C710B2" w:rsidRPr="00E47A4F" w:rsidRDefault="00C710B2" w:rsidP="00C710B2">
      <w:pPr>
        <w:rPr>
          <w:sz w:val="24"/>
          <w:szCs w:val="24"/>
        </w:rPr>
      </w:pPr>
    </w:p>
    <w:p w:rsidR="00C710B2" w:rsidRPr="00E47A4F" w:rsidRDefault="00C710B2" w:rsidP="00C710B2">
      <w:pPr>
        <w:rPr>
          <w:sz w:val="24"/>
          <w:szCs w:val="24"/>
        </w:rPr>
      </w:pPr>
      <w:r w:rsidRPr="00E47A4F">
        <w:rPr>
          <w:sz w:val="24"/>
          <w:szCs w:val="24"/>
        </w:rPr>
        <w:t>Whereas it is the responsibility of academic programs to create Program Personnel Standards and for the Faculty Affairs Committee to create General Personnel Standards;</w:t>
      </w:r>
      <w:r>
        <w:rPr>
          <w:sz w:val="24"/>
          <w:szCs w:val="24"/>
        </w:rPr>
        <w:t xml:space="preserve"> and</w:t>
      </w:r>
    </w:p>
    <w:p w:rsidR="00C710B2" w:rsidRDefault="00C710B2" w:rsidP="00C710B2">
      <w:pPr>
        <w:rPr>
          <w:sz w:val="24"/>
          <w:szCs w:val="24"/>
        </w:rPr>
      </w:pPr>
    </w:p>
    <w:p w:rsidR="00C710B2" w:rsidRDefault="00C710B2" w:rsidP="00C710B2">
      <w:pPr>
        <w:rPr>
          <w:sz w:val="24"/>
          <w:szCs w:val="24"/>
        </w:rPr>
      </w:pPr>
      <w:r w:rsidRPr="00E47A4F">
        <w:rPr>
          <w:sz w:val="24"/>
          <w:szCs w:val="24"/>
        </w:rPr>
        <w:t xml:space="preserve">Be it resolved that the Academic Senate of CSUCI encourages academic departments to revisit and amend as they see appropriate their Program Personnel Standards </w:t>
      </w:r>
      <w:r>
        <w:rPr>
          <w:sz w:val="24"/>
          <w:szCs w:val="24"/>
        </w:rPr>
        <w:t xml:space="preserve">to ensure that service expectations are reasonable given the number of opportunities available for service; </w:t>
      </w:r>
    </w:p>
    <w:p w:rsidR="00C710B2" w:rsidRPr="00E47A4F" w:rsidRDefault="00C710B2" w:rsidP="00C710B2">
      <w:pPr>
        <w:rPr>
          <w:sz w:val="24"/>
          <w:szCs w:val="24"/>
        </w:rPr>
      </w:pPr>
    </w:p>
    <w:p w:rsidR="006F7F0F" w:rsidRDefault="00C710B2" w:rsidP="00C710B2">
      <w:pPr>
        <w:rPr>
          <w:sz w:val="24"/>
          <w:szCs w:val="24"/>
        </w:rPr>
      </w:pPr>
      <w:r w:rsidRPr="00E47A4F">
        <w:rPr>
          <w:sz w:val="24"/>
          <w:szCs w:val="24"/>
        </w:rPr>
        <w:t xml:space="preserve">Further, be it resolved that the Academic Senate of CSUCI encourages the Faculty Affairs Committee to revisit and amend as they see appropriate the General Personnel Standards to </w:t>
      </w:r>
    </w:p>
    <w:p w:rsidR="006F7F0F" w:rsidRDefault="006F7F0F" w:rsidP="00C710B2">
      <w:pPr>
        <w:rPr>
          <w:sz w:val="24"/>
          <w:szCs w:val="24"/>
        </w:rPr>
      </w:pPr>
    </w:p>
    <w:p w:rsidR="006F7F0F" w:rsidRDefault="006F7F0F" w:rsidP="00C710B2">
      <w:pPr>
        <w:rPr>
          <w:sz w:val="24"/>
          <w:szCs w:val="24"/>
        </w:rPr>
      </w:pPr>
    </w:p>
    <w:p w:rsidR="00C710B2" w:rsidRPr="00E47A4F" w:rsidRDefault="00C710B2" w:rsidP="00C710B2">
      <w:pPr>
        <w:rPr>
          <w:sz w:val="24"/>
          <w:szCs w:val="24"/>
        </w:rPr>
      </w:pPr>
      <w:proofErr w:type="gramStart"/>
      <w:r w:rsidRPr="00E47A4F">
        <w:rPr>
          <w:sz w:val="24"/>
          <w:szCs w:val="24"/>
        </w:rPr>
        <w:t>include</w:t>
      </w:r>
      <w:proofErr w:type="gramEnd"/>
      <w:r w:rsidRPr="00E47A4F">
        <w:rPr>
          <w:sz w:val="24"/>
          <w:szCs w:val="24"/>
        </w:rPr>
        <w:t xml:space="preserve"> a statement or statements regarding </w:t>
      </w:r>
      <w:r>
        <w:rPr>
          <w:sz w:val="24"/>
          <w:szCs w:val="24"/>
        </w:rPr>
        <w:t>a reasonable level of service for faculty involved</w:t>
      </w:r>
      <w:r w:rsidRPr="00E47A4F">
        <w:rPr>
          <w:sz w:val="24"/>
          <w:szCs w:val="24"/>
        </w:rPr>
        <w:t xml:space="preserve"> in the Retention, Tenure, and Promotion process.</w:t>
      </w:r>
    </w:p>
    <w:p w:rsidR="00C710B2" w:rsidRPr="00E47A4F" w:rsidRDefault="00C710B2" w:rsidP="00C710B2">
      <w:pPr>
        <w:rPr>
          <w:sz w:val="24"/>
          <w:szCs w:val="24"/>
        </w:rPr>
      </w:pPr>
    </w:p>
    <w:p w:rsidR="00C710B2" w:rsidRPr="006F4829" w:rsidRDefault="00C710B2" w:rsidP="00C710B2">
      <w:pPr>
        <w:rPr>
          <w:sz w:val="24"/>
          <w:szCs w:val="24"/>
        </w:rPr>
      </w:pPr>
      <w:r w:rsidRPr="00E47A4F">
        <w:rPr>
          <w:sz w:val="24"/>
          <w:szCs w:val="24"/>
        </w:rPr>
        <w:t xml:space="preserve">Further, be it resolved that the Associate </w:t>
      </w:r>
      <w:r>
        <w:rPr>
          <w:sz w:val="24"/>
          <w:szCs w:val="24"/>
        </w:rPr>
        <w:t>Vice President</w:t>
      </w:r>
      <w:r w:rsidRPr="00E47A4F">
        <w:rPr>
          <w:sz w:val="24"/>
          <w:szCs w:val="24"/>
        </w:rPr>
        <w:t xml:space="preserve"> for Faculty Affairs will report to this Senate at its final meeting of the Academ</w:t>
      </w:r>
      <w:r>
        <w:rPr>
          <w:sz w:val="24"/>
          <w:szCs w:val="24"/>
        </w:rPr>
        <w:t xml:space="preserve">ic Year 2018-2019 on academic </w:t>
      </w:r>
      <w:r w:rsidRPr="00E47A4F">
        <w:rPr>
          <w:sz w:val="24"/>
          <w:szCs w:val="24"/>
        </w:rPr>
        <w:t xml:space="preserve">programs’ progress </w:t>
      </w:r>
      <w:r>
        <w:rPr>
          <w:sz w:val="24"/>
          <w:szCs w:val="24"/>
        </w:rPr>
        <w:t xml:space="preserve">amending their service expectations </w:t>
      </w:r>
      <w:r w:rsidRPr="00E47A4F">
        <w:rPr>
          <w:sz w:val="24"/>
          <w:szCs w:val="24"/>
        </w:rPr>
        <w:t>in their Program Personnel Standards, and the Faculty Affairs Committee’s efforts to incorporate the same into the General Personnel Standards.</w:t>
      </w:r>
    </w:p>
    <w:p w:rsidR="00405368" w:rsidRDefault="00405368"/>
    <w:sectPr w:rsidR="0040536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B5E" w:rsidRDefault="008C4B5E" w:rsidP="00C710B2">
      <w:r>
        <w:separator/>
      </w:r>
    </w:p>
  </w:endnote>
  <w:endnote w:type="continuationSeparator" w:id="0">
    <w:p w:rsidR="008C4B5E" w:rsidRDefault="008C4B5E" w:rsidP="00C71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B5E" w:rsidRDefault="008C4B5E" w:rsidP="00C710B2">
      <w:r>
        <w:separator/>
      </w:r>
    </w:p>
  </w:footnote>
  <w:footnote w:type="continuationSeparator" w:id="0">
    <w:p w:rsidR="008C4B5E" w:rsidRDefault="008C4B5E" w:rsidP="00C710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0B2" w:rsidRPr="007A4FBD" w:rsidRDefault="00C710B2" w:rsidP="00C710B2">
    <w:pPr>
      <w:pStyle w:val="Header"/>
      <w:rPr>
        <w:color w:val="000000"/>
      </w:rPr>
    </w:pPr>
    <w:r w:rsidRPr="00E359EC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F652E8" wp14:editId="5AD765F2">
              <wp:simplePos x="0" y="0"/>
              <wp:positionH relativeFrom="column">
                <wp:posOffset>1280160</wp:posOffset>
              </wp:positionH>
              <wp:positionV relativeFrom="paragraph">
                <wp:posOffset>53340</wp:posOffset>
              </wp:positionV>
              <wp:extent cx="4221480" cy="685800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148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59EC" w:rsidRPr="00087A1E" w:rsidRDefault="00A1303C" w:rsidP="00E359EC">
                          <w:pPr>
                            <w:rPr>
                              <w:b/>
                              <w:sz w:val="30"/>
                              <w:szCs w:val="30"/>
                            </w:rPr>
                          </w:pPr>
                          <w:r>
                            <w:rPr>
                              <w:b/>
                              <w:sz w:val="30"/>
                              <w:szCs w:val="30"/>
                            </w:rPr>
                            <w:t>C</w:t>
                          </w:r>
                          <w:r w:rsidRPr="00087A1E">
                            <w:rPr>
                              <w:b/>
                              <w:sz w:val="30"/>
                              <w:szCs w:val="30"/>
                            </w:rPr>
                            <w:t>ALIFORNIA STATE UNIVERSITY CHANNEL ISLANDS</w:t>
                          </w:r>
                        </w:p>
                        <w:p w:rsidR="00E359EC" w:rsidRPr="00087A1E" w:rsidRDefault="00A1303C" w:rsidP="00C710B2">
                          <w:pPr>
                            <w:rPr>
                              <w:sz w:val="46"/>
                              <w:szCs w:val="46"/>
                            </w:rPr>
                          </w:pPr>
                          <w:r w:rsidRPr="00087A1E">
                            <w:rPr>
                              <w:sz w:val="46"/>
                              <w:szCs w:val="46"/>
                            </w:rPr>
                            <w:t xml:space="preserve">ACADEMIC SENATE </w:t>
                          </w:r>
                          <w:r>
                            <w:rPr>
                              <w:sz w:val="46"/>
                              <w:szCs w:val="46"/>
                            </w:rPr>
                            <w:t>RESOLUTION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F652E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00.8pt;margin-top:4.2pt;width:332.4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" filled="f" stroked="f">
              <v:textbox>
                <w:txbxContent>
                  <w:p w:rsidR="00E359EC" w:rsidRPr="00087A1E" w:rsidRDefault="00A1303C" w:rsidP="00E359EC">
                    <w:pPr>
                      <w:rPr>
                        <w:b/>
                        <w:sz w:val="30"/>
                        <w:szCs w:val="30"/>
                      </w:rPr>
                    </w:pPr>
                    <w:r>
                      <w:rPr>
                        <w:b/>
                        <w:sz w:val="30"/>
                        <w:szCs w:val="30"/>
                      </w:rPr>
                      <w:t>C</w:t>
                    </w:r>
                    <w:r w:rsidRPr="00087A1E">
                      <w:rPr>
                        <w:b/>
                        <w:sz w:val="30"/>
                        <w:szCs w:val="30"/>
                      </w:rPr>
                      <w:t>ALIFORNIA STATE UNIVERSITY CHANNEL ISLANDS</w:t>
                    </w:r>
                  </w:p>
                  <w:p w:rsidR="00E359EC" w:rsidRPr="00087A1E" w:rsidRDefault="00A1303C" w:rsidP="00C710B2">
                    <w:pPr>
                      <w:rPr>
                        <w:sz w:val="46"/>
                        <w:szCs w:val="46"/>
                      </w:rPr>
                    </w:pPr>
                    <w:r w:rsidRPr="00087A1E">
                      <w:rPr>
                        <w:sz w:val="46"/>
                        <w:szCs w:val="46"/>
                      </w:rPr>
                      <w:t xml:space="preserve">ACADEMIC SENATE </w:t>
                    </w:r>
                    <w:r>
                      <w:rPr>
                        <w:sz w:val="46"/>
                        <w:szCs w:val="46"/>
                      </w:rPr>
                      <w:t>RESOLUTION</w:t>
                    </w:r>
                  </w:p>
                </w:txbxContent>
              </v:textbox>
            </v:shape>
          </w:pict>
        </mc:Fallback>
      </mc:AlternateContent>
    </w:r>
    <w:r w:rsidRPr="00E359EC">
      <w:rPr>
        <w:noProof/>
      </w:rPr>
      <w:drawing>
        <wp:inline distT="0" distB="0" distL="0" distR="0" wp14:anchorId="2113910B" wp14:editId="06B019A8">
          <wp:extent cx="1376045" cy="1217930"/>
          <wp:effectExtent l="0" t="0" r="0" b="127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6045" cy="1217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color w:val="000000"/>
        <w:sz w:val="26"/>
      </w:rPr>
      <w:t>Division of Academic Affairs</w:t>
    </w:r>
    <w:r>
      <w:rPr>
        <w:color w:val="000000"/>
      </w:rPr>
      <w:tab/>
    </w:r>
    <w:r w:rsidRPr="007A4FBD">
      <w:rPr>
        <w:b/>
        <w:bCs/>
        <w:color w:val="000000"/>
      </w:rPr>
      <w:t>Policy Number:</w:t>
    </w:r>
    <w:r>
      <w:rPr>
        <w:color w:val="000000"/>
      </w:rPr>
      <w:t xml:space="preserve"> SR 18</w:t>
    </w:r>
    <w:r w:rsidR="001A4991">
      <w:rPr>
        <w:color w:val="000000"/>
      </w:rPr>
      <w:t>-03</w:t>
    </w:r>
  </w:p>
  <w:p w:rsidR="00C710B2" w:rsidRPr="007A4FBD" w:rsidRDefault="00C710B2" w:rsidP="00C710B2">
    <w:pPr>
      <w:pStyle w:val="Header"/>
      <w:tabs>
        <w:tab w:val="clear" w:pos="4320"/>
        <w:tab w:val="clear" w:pos="8640"/>
        <w:tab w:val="left" w:pos="1440"/>
        <w:tab w:val="left" w:pos="3600"/>
        <w:tab w:val="left" w:pos="5760"/>
      </w:tabs>
      <w:ind w:firstLine="2160"/>
      <w:rPr>
        <w:color w:val="000000"/>
      </w:rPr>
    </w:pPr>
    <w:r w:rsidRPr="007A4FBD">
      <w:rPr>
        <w:b/>
        <w:bCs/>
        <w:color w:val="000000"/>
      </w:rPr>
      <w:t>Approved By:</w:t>
    </w:r>
    <w:r>
      <w:rPr>
        <w:color w:val="000000"/>
      </w:rPr>
      <w:t xml:space="preserve"> </w:t>
    </w:r>
    <w:r w:rsidRPr="007A4FBD">
      <w:rPr>
        <w:color w:val="000000"/>
      </w:rPr>
      <w:t>Academic Senate</w:t>
    </w:r>
    <w:r w:rsidRPr="007A4FBD">
      <w:rPr>
        <w:color w:val="000000"/>
      </w:rPr>
      <w:tab/>
    </w:r>
    <w:r>
      <w:rPr>
        <w:color w:val="000000"/>
      </w:rPr>
      <w:t xml:space="preserve">   </w:t>
    </w:r>
    <w:r w:rsidRPr="007A4FBD">
      <w:rPr>
        <w:b/>
        <w:bCs/>
        <w:color w:val="000000"/>
      </w:rPr>
      <w:t>Effective Date:</w:t>
    </w:r>
    <w:r w:rsidRPr="007A4FBD">
      <w:rPr>
        <w:color w:val="000000"/>
      </w:rPr>
      <w:t xml:space="preserve"> </w:t>
    </w:r>
  </w:p>
  <w:p w:rsidR="00C710B2" w:rsidRDefault="00C710B2" w:rsidP="00C710B2">
    <w:pPr>
      <w:tabs>
        <w:tab w:val="left" w:pos="1440"/>
        <w:tab w:val="left" w:pos="3600"/>
        <w:tab w:val="left" w:pos="5760"/>
      </w:tabs>
      <w:ind w:firstLine="2160"/>
      <w:rPr>
        <w:color w:val="000000"/>
        <w:sz w:val="24"/>
        <w:szCs w:val="24"/>
      </w:rPr>
    </w:pPr>
    <w:r w:rsidRPr="007A4FBD">
      <w:rPr>
        <w:color w:val="000000"/>
        <w:sz w:val="24"/>
        <w:szCs w:val="24"/>
      </w:rPr>
      <w:tab/>
    </w:r>
    <w:r w:rsidRPr="007A4FBD">
      <w:rPr>
        <w:color w:val="000000"/>
        <w:sz w:val="24"/>
        <w:szCs w:val="24"/>
      </w:rPr>
      <w:tab/>
    </w:r>
    <w:r>
      <w:rPr>
        <w:color w:val="000000"/>
        <w:sz w:val="24"/>
        <w:szCs w:val="24"/>
      </w:rPr>
      <w:t xml:space="preserve">    </w:t>
    </w:r>
    <w:r w:rsidRPr="007A4FBD">
      <w:rPr>
        <w:b/>
        <w:bCs/>
        <w:color w:val="000000"/>
        <w:sz w:val="24"/>
        <w:szCs w:val="24"/>
      </w:rPr>
      <w:t>Page</w:t>
    </w:r>
    <w:r w:rsidRPr="007A4FBD">
      <w:rPr>
        <w:color w:val="000000"/>
        <w:sz w:val="24"/>
        <w:szCs w:val="24"/>
      </w:rPr>
      <w:t xml:space="preserve"> </w:t>
    </w:r>
    <w:r w:rsidRPr="007A4FBD">
      <w:rPr>
        <w:color w:val="000000"/>
        <w:sz w:val="24"/>
        <w:szCs w:val="24"/>
      </w:rPr>
      <w:fldChar w:fldCharType="begin"/>
    </w:r>
    <w:r w:rsidRPr="007A4FBD">
      <w:rPr>
        <w:color w:val="000000"/>
        <w:sz w:val="24"/>
        <w:szCs w:val="24"/>
      </w:rPr>
      <w:instrText xml:space="preserve"> PAGE </w:instrText>
    </w:r>
    <w:r w:rsidRPr="007A4FBD">
      <w:rPr>
        <w:color w:val="000000"/>
        <w:sz w:val="24"/>
        <w:szCs w:val="24"/>
      </w:rPr>
      <w:fldChar w:fldCharType="separate"/>
    </w:r>
    <w:r w:rsidR="001A4991">
      <w:rPr>
        <w:noProof/>
        <w:color w:val="000000"/>
        <w:sz w:val="24"/>
        <w:szCs w:val="24"/>
      </w:rPr>
      <w:t>1</w:t>
    </w:r>
    <w:r w:rsidRPr="007A4FBD">
      <w:rPr>
        <w:color w:val="000000"/>
        <w:sz w:val="24"/>
        <w:szCs w:val="24"/>
      </w:rPr>
      <w:fldChar w:fldCharType="end"/>
    </w:r>
    <w:r w:rsidRPr="007A4FBD">
      <w:rPr>
        <w:color w:val="000000"/>
        <w:sz w:val="24"/>
        <w:szCs w:val="24"/>
      </w:rPr>
      <w:t xml:space="preserve"> of </w:t>
    </w:r>
    <w:r w:rsidRPr="007A4FBD">
      <w:rPr>
        <w:color w:val="000000"/>
        <w:sz w:val="24"/>
        <w:szCs w:val="24"/>
      </w:rPr>
      <w:fldChar w:fldCharType="begin"/>
    </w:r>
    <w:r w:rsidRPr="007A4FBD">
      <w:rPr>
        <w:color w:val="000000"/>
        <w:sz w:val="24"/>
        <w:szCs w:val="24"/>
      </w:rPr>
      <w:instrText xml:space="preserve"> NUMPAGES </w:instrText>
    </w:r>
    <w:r w:rsidRPr="007A4FBD">
      <w:rPr>
        <w:color w:val="000000"/>
        <w:sz w:val="24"/>
        <w:szCs w:val="24"/>
      </w:rPr>
      <w:fldChar w:fldCharType="separate"/>
    </w:r>
    <w:r w:rsidR="001A4991">
      <w:rPr>
        <w:noProof/>
        <w:color w:val="000000"/>
        <w:sz w:val="24"/>
        <w:szCs w:val="24"/>
      </w:rPr>
      <w:t>2</w:t>
    </w:r>
    <w:r w:rsidRPr="007A4FBD">
      <w:rPr>
        <w:color w:val="000000"/>
        <w:sz w:val="24"/>
        <w:szCs w:val="24"/>
      </w:rPr>
      <w:fldChar w:fldCharType="end"/>
    </w:r>
  </w:p>
  <w:p w:rsidR="006F7F0F" w:rsidRDefault="006F7F0F" w:rsidP="006F7F0F">
    <w:pPr>
      <w:pStyle w:val="Heading5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0"/>
      <w:jc w:val="center"/>
      <w:rPr>
        <w:color w:val="000000"/>
        <w:sz w:val="28"/>
      </w:rPr>
    </w:pPr>
    <w:r>
      <w:rPr>
        <w:color w:val="000000"/>
        <w:sz w:val="28"/>
      </w:rPr>
      <w:t xml:space="preserve">Resolution on </w:t>
    </w:r>
    <w:r>
      <w:t>Expectations for University Service for the Purpose o</w:t>
    </w:r>
    <w:r w:rsidRPr="00E47A4F">
      <w:t>f Retention, Tenure</w:t>
    </w:r>
    <w:r>
      <w:t>, a</w:t>
    </w:r>
    <w:r w:rsidRPr="00E47A4F">
      <w:t>nd Promotion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0B2"/>
    <w:rsid w:val="001A4991"/>
    <w:rsid w:val="003248F2"/>
    <w:rsid w:val="00405368"/>
    <w:rsid w:val="005B5C0A"/>
    <w:rsid w:val="006F7F0F"/>
    <w:rsid w:val="008C4B5E"/>
    <w:rsid w:val="00A1303C"/>
    <w:rsid w:val="00C71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3690B40"/>
  <w15:chartTrackingRefBased/>
  <w15:docId w15:val="{CC2474E3-D57E-4872-8048-5ED03CD4E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0B2"/>
    <w:pPr>
      <w:spacing w:after="0" w:line="240" w:lineRule="auto"/>
    </w:pPr>
  </w:style>
  <w:style w:type="paragraph" w:styleId="Heading5">
    <w:name w:val="heading 5"/>
    <w:basedOn w:val="Normal"/>
    <w:next w:val="Normal"/>
    <w:link w:val="Heading5Char"/>
    <w:qFormat/>
    <w:rsid w:val="00C710B2"/>
    <w:pPr>
      <w:keepNext/>
      <w:ind w:left="-720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C710B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rsid w:val="00C710B2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C710B2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C710B2"/>
    <w:rPr>
      <w:rFonts w:ascii="Times New Roman" w:eastAsia="Times New Roman" w:hAnsi="Times New Roman" w:cs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C710B2"/>
    <w:rPr>
      <w:rFonts w:ascii="Times New Roman" w:eastAsia="Times New Roman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C710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10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Edwards, Jeannette</dc:creator>
  <cp:keywords/>
  <dc:description/>
  <cp:lastModifiedBy>Edwards, Jeannette</cp:lastModifiedBy>
  <cp:revision>2</cp:revision>
  <dcterms:created xsi:type="dcterms:W3CDTF">2019-04-15T17:58:00Z</dcterms:created>
  <dcterms:modified xsi:type="dcterms:W3CDTF">2019-04-15T17:58:00Z</dcterms:modified>
</cp:coreProperties>
</file>