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91" w:rsidRPr="00971B2F" w:rsidRDefault="00A63391" w:rsidP="00A63391">
      <w:pPr>
        <w:ind w:left="-360"/>
      </w:pPr>
      <w:r w:rsidRPr="00971B2F">
        <w:rPr>
          <w:b/>
        </w:rPr>
        <w:t>DRAFTED BY:</w:t>
      </w:r>
      <w:r w:rsidRPr="00971B2F">
        <w:t xml:space="preserve">  Student Academic Policies and Procedures: Jose Garcia, Tiina Itkonen, Paul Murphy, Elizabeth Sowers, Brian Thoms (Chair) Non-voting members: Colleen Forest, Ernesto Guerrero</w:t>
      </w:r>
    </w:p>
    <w:p w:rsidR="00A63391" w:rsidRDefault="00A63391" w:rsidP="00CF4E7C">
      <w:pPr>
        <w:tabs>
          <w:tab w:val="left" w:pos="5970"/>
        </w:tabs>
        <w:ind w:left="-360"/>
        <w:rPr>
          <w:b/>
          <w:color w:val="000000"/>
        </w:rPr>
      </w:pPr>
    </w:p>
    <w:p w:rsidR="000258CE" w:rsidRDefault="000258CE" w:rsidP="000258CE">
      <w:pPr>
        <w:ind w:left="-360"/>
        <w:rPr>
          <w:bCs/>
          <w:color w:val="000000"/>
        </w:rPr>
      </w:pPr>
      <w:r>
        <w:rPr>
          <w:b/>
          <w:color w:val="000000"/>
        </w:rPr>
        <w:t xml:space="preserve">Applicability: </w:t>
      </w:r>
      <w:r>
        <w:rPr>
          <w:b/>
          <w:color w:val="000000"/>
        </w:rPr>
        <w:br/>
      </w:r>
      <w:r>
        <w:rPr>
          <w:bCs/>
          <w:color w:val="000000"/>
        </w:rPr>
        <w:t>All CSU Channel Islands undergraduate students</w:t>
      </w:r>
      <w:bookmarkStart w:id="0" w:name="_GoBack"/>
      <w:bookmarkEnd w:id="0"/>
    </w:p>
    <w:p w:rsidR="000258CE" w:rsidRDefault="000258CE" w:rsidP="000258CE">
      <w:pPr>
        <w:ind w:left="-360"/>
        <w:rPr>
          <w:bCs/>
          <w:color w:val="000000"/>
        </w:rPr>
      </w:pPr>
    </w:p>
    <w:p w:rsidR="00D67A2B" w:rsidRDefault="00466592" w:rsidP="00CF4E7C">
      <w:pPr>
        <w:tabs>
          <w:tab w:val="left" w:pos="5970"/>
        </w:tabs>
        <w:ind w:left="-360"/>
        <w:rPr>
          <w:bCs/>
          <w:color w:val="000000"/>
        </w:rPr>
      </w:pPr>
      <w:r>
        <w:rPr>
          <w:b/>
          <w:color w:val="000000"/>
        </w:rPr>
        <w:t>PURPOSE</w:t>
      </w:r>
      <w:r w:rsidR="00D67A2B">
        <w:rPr>
          <w:b/>
          <w:color w:val="000000"/>
        </w:rPr>
        <w:t xml:space="preserve">: </w:t>
      </w:r>
      <w:r w:rsidR="00CF4E7C">
        <w:rPr>
          <w:b/>
          <w:color w:val="000000"/>
        </w:rPr>
        <w:br/>
      </w:r>
      <w:r w:rsidR="00450468">
        <w:rPr>
          <w:bCs/>
          <w:color w:val="000000"/>
        </w:rPr>
        <w:t xml:space="preserve">To </w:t>
      </w:r>
      <w:r w:rsidR="00D07172">
        <w:rPr>
          <w:bCs/>
          <w:color w:val="000000"/>
        </w:rPr>
        <w:t>extend the period for changing the grading basis of a course from traditional letter grading to credit/no credit, or vice versa, through the eighth week of instruction</w:t>
      </w:r>
      <w:r w:rsidR="00450468">
        <w:rPr>
          <w:bCs/>
          <w:color w:val="000000"/>
        </w:rPr>
        <w:t>.</w:t>
      </w:r>
      <w:r w:rsidR="00D07172">
        <w:rPr>
          <w:bCs/>
          <w:color w:val="000000"/>
        </w:rPr>
        <w:t xml:space="preserve">  </w:t>
      </w:r>
    </w:p>
    <w:p w:rsidR="00D67A2B" w:rsidRDefault="00D67A2B" w:rsidP="00D67A2B">
      <w:pPr>
        <w:ind w:left="-360"/>
        <w:rPr>
          <w:bCs/>
          <w:color w:val="000000"/>
        </w:rPr>
      </w:pPr>
    </w:p>
    <w:p w:rsidR="00D67A2B" w:rsidRDefault="00466592" w:rsidP="00D07172">
      <w:pPr>
        <w:ind w:left="-360"/>
        <w:rPr>
          <w:bCs/>
          <w:color w:val="000000"/>
        </w:rPr>
      </w:pPr>
      <w:r>
        <w:rPr>
          <w:b/>
          <w:color w:val="000000"/>
        </w:rPr>
        <w:t>BACKGROUND</w:t>
      </w:r>
      <w:r w:rsidR="00D67A2B">
        <w:rPr>
          <w:b/>
          <w:color w:val="000000"/>
        </w:rPr>
        <w:t xml:space="preserve">: </w:t>
      </w:r>
      <w:r w:rsidR="00CF4E7C">
        <w:rPr>
          <w:b/>
          <w:color w:val="000000"/>
        </w:rPr>
        <w:br/>
      </w:r>
      <w:r w:rsidR="00450468">
        <w:rPr>
          <w:bCs/>
          <w:color w:val="000000"/>
        </w:rPr>
        <w:t>S</w:t>
      </w:r>
      <w:r w:rsidR="00D07172">
        <w:rPr>
          <w:bCs/>
          <w:color w:val="000000"/>
        </w:rPr>
        <w:t>P 0</w:t>
      </w:r>
      <w:r w:rsidR="00450468">
        <w:rPr>
          <w:bCs/>
          <w:color w:val="000000"/>
        </w:rPr>
        <w:t>3-</w:t>
      </w:r>
      <w:r w:rsidR="00D07172">
        <w:rPr>
          <w:bCs/>
          <w:color w:val="000000"/>
        </w:rPr>
        <w:t xml:space="preserve">34 </w:t>
      </w:r>
      <w:r w:rsidR="00DC300F">
        <w:rPr>
          <w:bCs/>
          <w:color w:val="000000"/>
        </w:rPr>
        <w:t>gives</w:t>
      </w:r>
      <w:r w:rsidR="00D07172">
        <w:rPr>
          <w:bCs/>
          <w:color w:val="000000"/>
        </w:rPr>
        <w:t xml:space="preserve"> students </w:t>
      </w:r>
      <w:r w:rsidR="001848D2">
        <w:rPr>
          <w:bCs/>
          <w:color w:val="000000"/>
        </w:rPr>
        <w:t xml:space="preserve">only </w:t>
      </w:r>
      <w:r w:rsidR="00D07172">
        <w:rPr>
          <w:bCs/>
          <w:color w:val="000000"/>
        </w:rPr>
        <w:t xml:space="preserve">up to the third week of instruction to change the grading basis of a course.  </w:t>
      </w:r>
      <w:r w:rsidR="001C2E88">
        <w:rPr>
          <w:bCs/>
          <w:color w:val="000000"/>
        </w:rPr>
        <w:t xml:space="preserve">Moving the deadline to week </w:t>
      </w:r>
      <w:r w:rsidR="000653C7">
        <w:rPr>
          <w:bCs/>
          <w:color w:val="000000"/>
        </w:rPr>
        <w:t>eight</w:t>
      </w:r>
      <w:r w:rsidR="001C2E88">
        <w:rPr>
          <w:bCs/>
          <w:color w:val="000000"/>
        </w:rPr>
        <w:t xml:space="preserve"> give students more time to receive feedback from their instructors make so they can make an informed choice about the grading basis of their courses.  </w:t>
      </w:r>
      <w:r w:rsidR="00BD3199">
        <w:rPr>
          <w:bCs/>
          <w:color w:val="000000"/>
        </w:rPr>
        <w:t xml:space="preserve">In this way, it can encourage students to take courses of interest outside of their major without concern for the grade impacting their academic progress.  The week </w:t>
      </w:r>
      <w:r w:rsidR="000653C7">
        <w:rPr>
          <w:bCs/>
          <w:color w:val="000000"/>
        </w:rPr>
        <w:t>eight</w:t>
      </w:r>
      <w:r w:rsidR="00BD3199">
        <w:rPr>
          <w:bCs/>
          <w:color w:val="000000"/>
        </w:rPr>
        <w:t xml:space="preserve"> deadline also puts the university more in line with other public and private universities that allow changes to the grading basis as late as after 80% of instructional time.  </w:t>
      </w:r>
    </w:p>
    <w:p w:rsidR="00466592" w:rsidRDefault="00466592" w:rsidP="00D67A2B">
      <w:pPr>
        <w:ind w:left="-360"/>
        <w:rPr>
          <w:b/>
          <w:bCs/>
          <w:color w:val="000000"/>
        </w:rPr>
      </w:pPr>
    </w:p>
    <w:p w:rsidR="00D67A2B" w:rsidRDefault="00466592" w:rsidP="00D67A2B">
      <w:pPr>
        <w:ind w:left="-360"/>
        <w:rPr>
          <w:b/>
          <w:bCs/>
          <w:color w:val="000000"/>
        </w:rPr>
      </w:pPr>
      <w:r w:rsidRPr="00466592">
        <w:rPr>
          <w:b/>
          <w:bCs/>
          <w:color w:val="000000"/>
        </w:rPr>
        <w:t>POLICY:</w:t>
      </w:r>
    </w:p>
    <w:p w:rsidR="000258CE" w:rsidRDefault="000258CE" w:rsidP="000258CE">
      <w:pPr>
        <w:ind w:left="-360"/>
      </w:pPr>
      <w:r>
        <w:t xml:space="preserve">Policy: </w:t>
      </w:r>
    </w:p>
    <w:p w:rsidR="000258CE" w:rsidRDefault="000258CE" w:rsidP="000258CE">
      <w:r>
        <w:t xml:space="preserve">If either traditional letter grading or credit/no credit grading is allowed for a course, a student may change the course basis for grading from traditional letter grading to credit/no credit grading, or vice versa, through the eighth week of instruction without instructor approval. Grade basis changes will follow appropriate procedures and are permitted only when the program area for the course and the student’s major do not require a specific grading option for the course. </w:t>
      </w:r>
    </w:p>
    <w:p w:rsidR="00D67A2B" w:rsidRDefault="00624511" w:rsidP="00624511">
      <w:pPr>
        <w:tabs>
          <w:tab w:val="left" w:pos="7080"/>
        </w:tabs>
        <w:ind w:left="-360"/>
        <w:rPr>
          <w:bCs/>
          <w:color w:val="000000"/>
        </w:rPr>
      </w:pPr>
      <w:r>
        <w:rPr>
          <w:bCs/>
          <w:color w:val="000000"/>
        </w:rPr>
        <w:tab/>
      </w:r>
    </w:p>
    <w:p w:rsidR="00D67A2B" w:rsidRDefault="00D67A2B" w:rsidP="00D67A2B">
      <w:pPr>
        <w:ind w:left="-360"/>
        <w:rPr>
          <w:b/>
          <w:color w:val="000000"/>
        </w:rPr>
      </w:pPr>
    </w:p>
    <w:p w:rsidR="00A92257" w:rsidRDefault="00A92257" w:rsidP="00D67A2B">
      <w:pPr>
        <w:ind w:left="-360"/>
        <w:rPr>
          <w:bCs/>
          <w:color w:val="000000"/>
          <w:sz w:val="22"/>
          <w:szCs w:val="22"/>
        </w:rPr>
      </w:pPr>
    </w:p>
    <w:p w:rsidR="00D67A2B" w:rsidRDefault="00F95BAE" w:rsidP="00D67A2B">
      <w:pPr>
        <w:ind w:left="-360"/>
        <w:rPr>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0258CE">
        <w:rPr>
          <w:bCs/>
          <w:color w:val="000000"/>
        </w:rPr>
        <w:t>No exhibits</w:t>
      </w:r>
      <w:r w:rsidR="00D67A2B">
        <w:rPr>
          <w:i/>
          <w:iCs/>
          <w:color w:val="000000"/>
        </w:rPr>
        <w:t xml:space="preserve"> </w:t>
      </w:r>
    </w:p>
    <w:p w:rsidR="00D67A2B" w:rsidRDefault="00D67A2B" w:rsidP="00D67A2B">
      <w:pPr>
        <w:ind w:left="-360"/>
        <w:rPr>
          <w:color w:val="000000"/>
        </w:rPr>
      </w:pPr>
    </w:p>
    <w:p w:rsidR="009E6522" w:rsidRDefault="009E6522">
      <w:pPr>
        <w:ind w:left="-360"/>
        <w:rPr>
          <w:color w:val="000000"/>
        </w:rPr>
      </w:pPr>
    </w:p>
    <w:p w:rsidR="009E6522" w:rsidRDefault="009E6522">
      <w:pPr>
        <w:ind w:left="-360"/>
        <w:rPr>
          <w:color w:val="000000"/>
        </w:rPr>
      </w:pPr>
    </w:p>
    <w:p w:rsidR="009E6522" w:rsidRDefault="009E6522">
      <w:pPr>
        <w:ind w:left="-360"/>
        <w:rPr>
          <w:color w:val="000000"/>
        </w:rPr>
      </w:pPr>
    </w:p>
    <w:sectPr w:rsidR="009E6522">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F2" w:rsidRDefault="00F24EF2">
      <w:r>
        <w:separator/>
      </w:r>
    </w:p>
  </w:endnote>
  <w:endnote w:type="continuationSeparator" w:id="0">
    <w:p w:rsidR="00F24EF2" w:rsidRDefault="00F2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F2" w:rsidRDefault="00F24EF2">
      <w:r>
        <w:separator/>
      </w:r>
    </w:p>
  </w:footnote>
  <w:footnote w:type="continuationSeparator" w:id="0">
    <w:p w:rsidR="00F24EF2" w:rsidRDefault="00F24E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22" w:rsidRDefault="00F24EF2">
    <w:pPr>
      <w:pStyle w:val="Head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9.5pt;margin-top:-4.9pt;width:486.6pt;height:108pt;z-index:-1" wrapcoords="-33 0 -33 21450 21600 21450 21600 0 -33 0">
          <v:imagedata r:id="rId1" o:title="CI Policy logo"/>
          <w10:wrap type="tight"/>
        </v:shape>
      </w:pict>
    </w:r>
  </w:p>
  <w:p w:rsidR="00797C0B" w:rsidRDefault="00797C0B">
    <w:pPr>
      <w:pStyle w:val="Header"/>
      <w:rPr>
        <w:color w:val="000000"/>
      </w:rPr>
    </w:pPr>
  </w:p>
  <w:p w:rsidR="00797C0B" w:rsidRDefault="00797C0B">
    <w:pPr>
      <w:pStyle w:val="Header"/>
      <w:rPr>
        <w:color w:val="000000"/>
      </w:rPr>
    </w:pPr>
  </w:p>
  <w:p w:rsidR="00797C0B" w:rsidRDefault="00797C0B">
    <w:pPr>
      <w:pStyle w:val="Header"/>
      <w:rPr>
        <w:color w:val="000000"/>
      </w:rPr>
    </w:pPr>
  </w:p>
  <w:p w:rsidR="00797C0B" w:rsidRDefault="00797C0B">
    <w:pPr>
      <w:pStyle w:val="Header"/>
      <w:rPr>
        <w:color w:val="000000"/>
      </w:rPr>
    </w:pPr>
  </w:p>
  <w:p w:rsidR="00797C0B" w:rsidRDefault="00797C0B">
    <w:pPr>
      <w:pStyle w:val="Header"/>
      <w:rPr>
        <w:color w:val="000000"/>
      </w:rPr>
    </w:pPr>
  </w:p>
  <w:p w:rsidR="00797C0B" w:rsidRDefault="00797C0B" w:rsidP="00A6081B">
    <w:pPr>
      <w:pStyle w:val="Header"/>
      <w:jc w:val="right"/>
      <w:rPr>
        <w:color w:val="000000"/>
      </w:rPr>
    </w:pPr>
  </w:p>
  <w:p w:rsidR="00A63391" w:rsidRDefault="00A63391" w:rsidP="00A63391">
    <w:pPr>
      <w:pStyle w:val="BodyText"/>
      <w:tabs>
        <w:tab w:val="left" w:pos="1620"/>
        <w:tab w:val="left" w:pos="5760"/>
      </w:tabs>
      <w:ind w:firstLine="2160"/>
      <w:rPr>
        <w:color w:val="000000"/>
      </w:rPr>
    </w:pPr>
    <w:r>
      <w:rPr>
        <w:b/>
        <w:bCs/>
        <w:color w:val="000000"/>
        <w:sz w:val="26"/>
      </w:rPr>
      <w:t>Division of Academic Affairs</w:t>
    </w:r>
    <w:r>
      <w:rPr>
        <w:color w:val="000000"/>
      </w:rPr>
      <w:tab/>
    </w:r>
    <w:r>
      <w:rPr>
        <w:b/>
        <w:bCs/>
        <w:color w:val="000000"/>
      </w:rPr>
      <w:t>Policy Number:</w:t>
    </w:r>
    <w:r>
      <w:rPr>
        <w:color w:val="000000"/>
      </w:rPr>
      <w:t xml:space="preserve"> SP 17-0</w:t>
    </w:r>
    <w:r w:rsidR="00CE052C">
      <w:rPr>
        <w:color w:val="000000"/>
      </w:rPr>
      <w:t>3</w:t>
    </w:r>
  </w:p>
  <w:p w:rsidR="00A63391" w:rsidRDefault="00A63391" w:rsidP="00A63391">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 xml:space="preserve">Academic Senate </w:t>
    </w:r>
    <w:r>
      <w:rPr>
        <w:color w:val="000000"/>
        <w:sz w:val="22"/>
      </w:rPr>
      <w:tab/>
    </w:r>
    <w:r>
      <w:rPr>
        <w:b/>
        <w:bCs/>
        <w:color w:val="000000"/>
        <w:sz w:val="22"/>
      </w:rPr>
      <w:t>Effective Date:</w:t>
    </w:r>
    <w:r>
      <w:rPr>
        <w:color w:val="000000"/>
        <w:sz w:val="22"/>
      </w:rPr>
      <w:t xml:space="preserve"> Fall 2018</w:t>
    </w:r>
  </w:p>
  <w:p w:rsidR="009E6522" w:rsidRDefault="00D271C1" w:rsidP="00A63391">
    <w:pPr>
      <w:tabs>
        <w:tab w:val="left" w:pos="1440"/>
        <w:tab w:val="left" w:pos="3600"/>
        <w:tab w:val="left" w:pos="5760"/>
      </w:tabs>
      <w:ind w:firstLine="2160"/>
      <w:rPr>
        <w:color w:val="000000"/>
        <w:sz w:val="22"/>
      </w:rPr>
    </w:pPr>
    <w:r>
      <w:rPr>
        <w:color w:val="000000"/>
        <w:sz w:val="22"/>
      </w:rPr>
      <w:tab/>
      <w:t>February 6, 2018</w:t>
    </w:r>
    <w:r w:rsidR="00A63391">
      <w:rPr>
        <w:color w:val="000000"/>
        <w:sz w:val="22"/>
      </w:rPr>
      <w:tab/>
    </w:r>
    <w:r w:rsidR="00A63391">
      <w:rPr>
        <w:b/>
        <w:bCs/>
        <w:color w:val="000000"/>
      </w:rPr>
      <w:t>Page</w:t>
    </w:r>
    <w:r w:rsidR="00A63391">
      <w:rPr>
        <w:color w:val="000000"/>
      </w:rPr>
      <w:t xml:space="preserve"> </w:t>
    </w:r>
    <w:r w:rsidR="00A63391">
      <w:rPr>
        <w:color w:val="000000"/>
      </w:rPr>
      <w:fldChar w:fldCharType="begin"/>
    </w:r>
    <w:r w:rsidR="00A63391">
      <w:rPr>
        <w:color w:val="000000"/>
      </w:rPr>
      <w:instrText xml:space="preserve"> PAGE </w:instrText>
    </w:r>
    <w:r w:rsidR="00A63391">
      <w:rPr>
        <w:color w:val="000000"/>
      </w:rPr>
      <w:fldChar w:fldCharType="separate"/>
    </w:r>
    <w:r w:rsidR="00CE052C">
      <w:rPr>
        <w:noProof/>
        <w:color w:val="000000"/>
      </w:rPr>
      <w:t>1</w:t>
    </w:r>
    <w:r w:rsidR="00A63391">
      <w:rPr>
        <w:color w:val="000000"/>
      </w:rPr>
      <w:fldChar w:fldCharType="end"/>
    </w:r>
    <w:r w:rsidR="00A63391">
      <w:rPr>
        <w:color w:val="000000"/>
      </w:rPr>
      <w:t xml:space="preserve"> of </w:t>
    </w:r>
    <w:r w:rsidR="00A63391">
      <w:rPr>
        <w:color w:val="000000"/>
      </w:rPr>
      <w:fldChar w:fldCharType="begin"/>
    </w:r>
    <w:r w:rsidR="00A63391">
      <w:rPr>
        <w:color w:val="000000"/>
      </w:rPr>
      <w:instrText xml:space="preserve"> NUMPAGES </w:instrText>
    </w:r>
    <w:r w:rsidR="00A63391">
      <w:rPr>
        <w:color w:val="000000"/>
      </w:rPr>
      <w:fldChar w:fldCharType="separate"/>
    </w:r>
    <w:r w:rsidR="00CE052C">
      <w:rPr>
        <w:noProof/>
        <w:color w:val="000000"/>
      </w:rPr>
      <w:t>1</w:t>
    </w:r>
    <w:r w:rsidR="00A63391">
      <w:rPr>
        <w:color w:val="000000"/>
      </w:rPr>
      <w:fldChar w:fldCharType="end"/>
    </w:r>
  </w:p>
  <w:p w:rsidR="009E6522" w:rsidRDefault="00F24EF2">
    <w:pPr>
      <w:tabs>
        <w:tab w:val="left" w:pos="1440"/>
        <w:tab w:val="left" w:pos="3600"/>
        <w:tab w:val="left" w:pos="5760"/>
      </w:tabs>
      <w:ind w:firstLine="2160"/>
      <w:rPr>
        <w:color w:val="000000"/>
        <w:sz w:val="22"/>
      </w:rPr>
    </w:pPr>
    <w:r>
      <w:rPr>
        <w:noProof/>
        <w:color w:val="000000"/>
        <w:sz w:val="20"/>
      </w:rPr>
      <w:pict>
        <v:shapetype id="_x0000_t202" coordsize="21600,21600" o:spt="202" path="m,l,21600r21600,l21600,xe">
          <v:stroke joinstyle="miter"/>
          <v:path gradientshapeok="t" o:connecttype="rect"/>
        </v:shapetype>
        <v:shape id="_x0000_s2049" type="#_x0000_t202" style="position:absolute;left:0;text-align:left;margin-left:-18pt;margin-top:5.8pt;width:7in;height:27pt;z-index:1">
          <v:textbox style="mso-next-textbox:#_x0000_s2049">
            <w:txbxContent>
              <w:p w:rsidR="009E6522" w:rsidRDefault="009E6522">
                <w:pPr>
                  <w:pStyle w:val="Heading5"/>
                  <w:ind w:left="0"/>
                  <w:jc w:val="center"/>
                  <w:rPr>
                    <w:color w:val="000000"/>
                    <w:sz w:val="28"/>
                  </w:rPr>
                </w:pPr>
                <w:r>
                  <w:rPr>
                    <w:color w:val="000000"/>
                    <w:sz w:val="28"/>
                  </w:rPr>
                  <w:t xml:space="preserve">Policy on </w:t>
                </w:r>
                <w:r w:rsidR="000653C7">
                  <w:rPr>
                    <w:color w:val="000000"/>
                    <w:sz w:val="28"/>
                  </w:rPr>
                  <w:t>Changing the Basis for Grading</w:t>
                </w:r>
              </w:p>
            </w:txbxContent>
          </v:textbox>
        </v:shape>
      </w:pict>
    </w:r>
  </w:p>
  <w:p w:rsidR="009E6522" w:rsidRDefault="009E6522">
    <w:pPr>
      <w:pStyle w:val="Heading4"/>
      <w:tabs>
        <w:tab w:val="left" w:pos="3780"/>
        <w:tab w:val="left" w:pos="5760"/>
      </w:tabs>
      <w:ind w:firstLine="2160"/>
      <w:rPr>
        <w:color w:val="000000"/>
        <w:sz w:val="22"/>
      </w:rPr>
    </w:pPr>
  </w:p>
  <w:p w:rsidR="009E6522" w:rsidRDefault="009E6522">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6840D7"/>
    <w:multiLevelType w:val="hybridMultilevel"/>
    <w:tmpl w:val="8C5AF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760F60"/>
    <w:multiLevelType w:val="hybridMultilevel"/>
    <w:tmpl w:val="10C22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9C5678"/>
    <w:multiLevelType w:val="hybridMultilevel"/>
    <w:tmpl w:val="ACEC77D4"/>
    <w:lvl w:ilvl="0" w:tplc="CA3ABC10">
      <w:start w:val="1"/>
      <w:numFmt w:val="decimal"/>
      <w:lvlText w:val="%1."/>
      <w:lvlJc w:val="left"/>
      <w:pPr>
        <w:ind w:left="0" w:hanging="360"/>
      </w:pPr>
      <w:rPr>
        <w:rFonts w:hint="default"/>
        <w:color w:val="auto"/>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900807"/>
    <w:multiLevelType w:val="hybridMultilevel"/>
    <w:tmpl w:val="6FB04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8"/>
  </w:num>
  <w:num w:numId="6">
    <w:abstractNumId w:val="4"/>
  </w:num>
  <w:num w:numId="7">
    <w:abstractNumId w:val="9"/>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522"/>
    <w:rsid w:val="000258CE"/>
    <w:rsid w:val="000653C7"/>
    <w:rsid w:val="00090014"/>
    <w:rsid w:val="000977FD"/>
    <w:rsid w:val="000C2536"/>
    <w:rsid w:val="00154CBA"/>
    <w:rsid w:val="00163699"/>
    <w:rsid w:val="00164174"/>
    <w:rsid w:val="001848D2"/>
    <w:rsid w:val="001C2E88"/>
    <w:rsid w:val="001F66C1"/>
    <w:rsid w:val="00245635"/>
    <w:rsid w:val="00253212"/>
    <w:rsid w:val="0029494C"/>
    <w:rsid w:val="002D4367"/>
    <w:rsid w:val="002F4442"/>
    <w:rsid w:val="003E4D80"/>
    <w:rsid w:val="0040632E"/>
    <w:rsid w:val="00435E3D"/>
    <w:rsid w:val="004374A8"/>
    <w:rsid w:val="00442D6A"/>
    <w:rsid w:val="00450468"/>
    <w:rsid w:val="00466592"/>
    <w:rsid w:val="004B65AD"/>
    <w:rsid w:val="004C2166"/>
    <w:rsid w:val="004D686C"/>
    <w:rsid w:val="005019C1"/>
    <w:rsid w:val="00502BB7"/>
    <w:rsid w:val="005133F7"/>
    <w:rsid w:val="0051492F"/>
    <w:rsid w:val="00554358"/>
    <w:rsid w:val="005A0772"/>
    <w:rsid w:val="005B409F"/>
    <w:rsid w:val="005B7B7B"/>
    <w:rsid w:val="00624511"/>
    <w:rsid w:val="006343B3"/>
    <w:rsid w:val="006541CE"/>
    <w:rsid w:val="00687AC8"/>
    <w:rsid w:val="006E431A"/>
    <w:rsid w:val="007161B2"/>
    <w:rsid w:val="00797C0B"/>
    <w:rsid w:val="007B3129"/>
    <w:rsid w:val="007B68C7"/>
    <w:rsid w:val="00852DB9"/>
    <w:rsid w:val="008A2900"/>
    <w:rsid w:val="008B2B02"/>
    <w:rsid w:val="008E3F69"/>
    <w:rsid w:val="00947FEB"/>
    <w:rsid w:val="009A2597"/>
    <w:rsid w:val="009E6522"/>
    <w:rsid w:val="00A06CD1"/>
    <w:rsid w:val="00A1057B"/>
    <w:rsid w:val="00A13DA7"/>
    <w:rsid w:val="00A52B4F"/>
    <w:rsid w:val="00A6081B"/>
    <w:rsid w:val="00A63391"/>
    <w:rsid w:val="00A92257"/>
    <w:rsid w:val="00A96F47"/>
    <w:rsid w:val="00B21597"/>
    <w:rsid w:val="00B4076F"/>
    <w:rsid w:val="00B70C63"/>
    <w:rsid w:val="00BA1DAF"/>
    <w:rsid w:val="00BD3199"/>
    <w:rsid w:val="00C04E04"/>
    <w:rsid w:val="00C25A8F"/>
    <w:rsid w:val="00CC6D63"/>
    <w:rsid w:val="00CE052C"/>
    <w:rsid w:val="00CE15C0"/>
    <w:rsid w:val="00CF4E7C"/>
    <w:rsid w:val="00D07172"/>
    <w:rsid w:val="00D10E65"/>
    <w:rsid w:val="00D20BF3"/>
    <w:rsid w:val="00D271C1"/>
    <w:rsid w:val="00D67A2B"/>
    <w:rsid w:val="00DC300F"/>
    <w:rsid w:val="00DC43B2"/>
    <w:rsid w:val="00DD779C"/>
    <w:rsid w:val="00DE0C1E"/>
    <w:rsid w:val="00E0705E"/>
    <w:rsid w:val="00E459A4"/>
    <w:rsid w:val="00E72E5F"/>
    <w:rsid w:val="00E74F66"/>
    <w:rsid w:val="00E81BBE"/>
    <w:rsid w:val="00F134AD"/>
    <w:rsid w:val="00F24EF2"/>
    <w:rsid w:val="00F50C9D"/>
    <w:rsid w:val="00F77E11"/>
    <w:rsid w:val="00F9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C1021F1"/>
  <w15:chartTrackingRefBased/>
  <w15:docId w15:val="{60919091-412B-4FB5-AC1C-F38DBA4B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A38C-5CD9-4796-9A51-E6CC06A6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Edwards, Jeannette</cp:lastModifiedBy>
  <cp:revision>3</cp:revision>
  <cp:lastPrinted>2017-10-31T21:43:00Z</cp:lastPrinted>
  <dcterms:created xsi:type="dcterms:W3CDTF">2018-02-15T17:42:00Z</dcterms:created>
  <dcterms:modified xsi:type="dcterms:W3CDTF">2018-02-15T17:45:00Z</dcterms:modified>
</cp:coreProperties>
</file>